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EDEC7F">
      <w:pPr>
        <w:jc w:val="center"/>
        <w:rPr>
          <w:rFonts w:hint="default" w:ascii="Times New Roman" w:hAnsi="Times New Roman"/>
          <w:b/>
          <w:bCs/>
          <w:sz w:val="48"/>
          <w:szCs w:val="48"/>
        </w:rPr>
      </w:pPr>
      <w:r>
        <w:rPr>
          <w:rFonts w:hint="default" w:ascii="Times New Roman" w:hAnsi="Times New Roman"/>
          <w:b/>
          <w:bCs/>
          <w:sz w:val="48"/>
          <w:szCs w:val="48"/>
        </w:rPr>
        <w:t>Customer churn prediction using Machine Learning</w:t>
      </w:r>
      <w:bookmarkStart w:id="0" w:name="_GoBack"/>
      <w:bookmarkEnd w:id="0"/>
    </w:p>
    <w:p w14:paraId="7C0DD1BE">
      <w:pPr>
        <w:jc w:val="center"/>
        <w:rPr>
          <w:rFonts w:hint="default" w:ascii="Times New Roman" w:hAnsi="Times New Roman"/>
          <w:b/>
          <w:bCs/>
          <w:sz w:val="24"/>
          <w:szCs w:val="24"/>
          <w:lang w:val="en-US"/>
        </w:rPr>
      </w:pPr>
    </w:p>
    <w:tbl>
      <w:tblPr>
        <w:tblStyle w:val="18"/>
        <w:tblW w:w="104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485"/>
        <w:gridCol w:w="11"/>
        <w:gridCol w:w="3474"/>
        <w:gridCol w:w="23"/>
        <w:gridCol w:w="3497"/>
      </w:tblGrid>
      <w:tr w14:paraId="1F2D1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2" w:hRule="atLeast"/>
        </w:trPr>
        <w:tc>
          <w:tcPr>
            <w:tcW w:w="3485" w:type="dxa"/>
          </w:tcPr>
          <w:p w14:paraId="3D9B660D">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Ankireddypalli Veera Vijitha</w:t>
            </w:r>
          </w:p>
          <w:p w14:paraId="0DA6CA28">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Department of Computer Science and</w:t>
            </w:r>
          </w:p>
          <w:p w14:paraId="52A6144E">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Engineering</w:t>
            </w:r>
          </w:p>
          <w:p w14:paraId="4865E1E2">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Mohan Babu University</w:t>
            </w:r>
          </w:p>
          <w:p w14:paraId="07976403">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Andhra Pradesh, India</w:t>
            </w:r>
          </w:p>
          <w:p w14:paraId="552C1A4A">
            <w:pPr>
              <w:spacing w:after="0" w:line="240" w:lineRule="auto"/>
              <w:jc w:val="center"/>
              <w:rPr>
                <w:rFonts w:ascii="Times New Roman" w:hAnsi="Times New Roman" w:cs="Times New Roman"/>
                <w:i/>
                <w:iCs/>
                <w:sz w:val="16"/>
                <w:szCs w:val="16"/>
                <w:lang w:val="en-US"/>
              </w:rPr>
            </w:pPr>
            <w:r>
              <w:fldChar w:fldCharType="begin"/>
            </w:r>
            <w:r>
              <w:instrText xml:space="preserve"> HYPERLINK "mailto:reddyvijitha20@gmail.com" </w:instrText>
            </w:r>
            <w:r>
              <w:fldChar w:fldCharType="separate"/>
            </w:r>
            <w:r>
              <w:rPr>
                <w:rStyle w:val="15"/>
                <w:rFonts w:ascii="Times New Roman" w:hAnsi="Times New Roman" w:cs="Times New Roman"/>
                <w:i/>
                <w:iCs/>
                <w:sz w:val="16"/>
                <w:szCs w:val="16"/>
                <w:lang w:val="en-US"/>
              </w:rPr>
              <w:t>reddyvijitha20@gmail.com</w:t>
            </w:r>
            <w:r>
              <w:rPr>
                <w:rStyle w:val="15"/>
                <w:rFonts w:ascii="Times New Roman" w:hAnsi="Times New Roman" w:cs="Times New Roman"/>
                <w:i/>
                <w:iCs/>
                <w:sz w:val="16"/>
                <w:szCs w:val="16"/>
                <w:lang w:val="en-US"/>
              </w:rPr>
              <w:fldChar w:fldCharType="end"/>
            </w:r>
            <w:r>
              <w:rPr>
                <w:rFonts w:ascii="Times New Roman" w:hAnsi="Times New Roman" w:cs="Times New Roman"/>
                <w:i/>
                <w:iCs/>
                <w:sz w:val="16"/>
                <w:szCs w:val="16"/>
                <w:lang w:val="en-US"/>
              </w:rPr>
              <w:t xml:space="preserve"> </w:t>
            </w:r>
          </w:p>
        </w:tc>
        <w:tc>
          <w:tcPr>
            <w:tcW w:w="3485" w:type="dxa"/>
            <w:gridSpan w:val="2"/>
          </w:tcPr>
          <w:p w14:paraId="4DD19D3C">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Tanguturi Harika</w:t>
            </w:r>
          </w:p>
          <w:p w14:paraId="7D89DE89">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Department of Computer Science and</w:t>
            </w:r>
          </w:p>
          <w:p w14:paraId="2D2B2282">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Engineering</w:t>
            </w:r>
          </w:p>
          <w:p w14:paraId="6AD7AF10">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Mohan Babu University</w:t>
            </w:r>
          </w:p>
          <w:p w14:paraId="6F63F0D8">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Andhra Pradesh, India</w:t>
            </w:r>
          </w:p>
          <w:p w14:paraId="17F96559">
            <w:pPr>
              <w:spacing w:after="0" w:line="240" w:lineRule="auto"/>
              <w:jc w:val="center"/>
              <w:rPr>
                <w:rFonts w:ascii="Times New Roman" w:hAnsi="Times New Roman" w:cs="Times New Roman"/>
                <w:i/>
                <w:iCs/>
                <w:sz w:val="16"/>
                <w:szCs w:val="16"/>
                <w:lang w:val="en-US"/>
              </w:rPr>
            </w:pPr>
            <w:r>
              <w:fldChar w:fldCharType="begin"/>
            </w:r>
            <w:r>
              <w:instrText xml:space="preserve"> HYPERLINK "mailto:harikatanguturi15@gmail.com" </w:instrText>
            </w:r>
            <w:r>
              <w:fldChar w:fldCharType="separate"/>
            </w:r>
            <w:r>
              <w:rPr>
                <w:rStyle w:val="15"/>
                <w:rFonts w:ascii="Times New Roman" w:hAnsi="Times New Roman" w:cs="Times New Roman"/>
                <w:i/>
                <w:iCs/>
                <w:sz w:val="16"/>
                <w:szCs w:val="16"/>
                <w:lang w:val="en-US"/>
              </w:rPr>
              <w:t>harikatanguturi15@gmail.com</w:t>
            </w:r>
            <w:r>
              <w:rPr>
                <w:rStyle w:val="15"/>
                <w:rFonts w:ascii="Times New Roman" w:hAnsi="Times New Roman" w:cs="Times New Roman"/>
                <w:i/>
                <w:iCs/>
                <w:sz w:val="16"/>
                <w:szCs w:val="16"/>
                <w:lang w:val="en-US"/>
              </w:rPr>
              <w:fldChar w:fldCharType="end"/>
            </w:r>
            <w:r>
              <w:rPr>
                <w:rFonts w:ascii="Times New Roman" w:hAnsi="Times New Roman" w:cs="Times New Roman"/>
                <w:i/>
                <w:iCs/>
                <w:sz w:val="16"/>
                <w:szCs w:val="16"/>
                <w:lang w:val="en-US"/>
              </w:rPr>
              <w:t xml:space="preserve">  </w:t>
            </w:r>
          </w:p>
        </w:tc>
        <w:tc>
          <w:tcPr>
            <w:tcW w:w="3520" w:type="dxa"/>
            <w:gridSpan w:val="2"/>
          </w:tcPr>
          <w:p w14:paraId="54A60102">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Yeddula Dora Babu</w:t>
            </w:r>
          </w:p>
          <w:p w14:paraId="7F817D45">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Department of Computer Science and</w:t>
            </w:r>
          </w:p>
          <w:p w14:paraId="25AFAE37">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Engineering</w:t>
            </w:r>
          </w:p>
          <w:p w14:paraId="5FBB280E">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Mohan Babu University</w:t>
            </w:r>
          </w:p>
          <w:p w14:paraId="29FC8425">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Andhra Pradesh, India</w:t>
            </w:r>
          </w:p>
          <w:p w14:paraId="576637DC">
            <w:pPr>
              <w:spacing w:after="0" w:line="240" w:lineRule="auto"/>
              <w:jc w:val="center"/>
              <w:rPr>
                <w:rFonts w:ascii="Times New Roman" w:hAnsi="Times New Roman" w:cs="Times New Roman"/>
                <w:i/>
                <w:iCs/>
                <w:sz w:val="16"/>
                <w:szCs w:val="16"/>
                <w:lang w:val="en-US"/>
              </w:rPr>
            </w:pPr>
            <w:r>
              <w:fldChar w:fldCharType="begin"/>
            </w:r>
            <w:r>
              <w:instrText xml:space="preserve"> HYPERLINK "mailto:dorayeddula@gmail.com" </w:instrText>
            </w:r>
            <w:r>
              <w:fldChar w:fldCharType="separate"/>
            </w:r>
            <w:r>
              <w:rPr>
                <w:rStyle w:val="15"/>
                <w:rFonts w:ascii="Times New Roman" w:hAnsi="Times New Roman" w:cs="Times New Roman"/>
                <w:i/>
                <w:iCs/>
                <w:sz w:val="16"/>
                <w:szCs w:val="16"/>
                <w:lang w:val="en-US"/>
              </w:rPr>
              <w:t>dorayeddula@gmail.com</w:t>
            </w:r>
            <w:r>
              <w:rPr>
                <w:rStyle w:val="15"/>
                <w:rFonts w:ascii="Times New Roman" w:hAnsi="Times New Roman" w:cs="Times New Roman"/>
                <w:i/>
                <w:iCs/>
                <w:sz w:val="16"/>
                <w:szCs w:val="16"/>
                <w:lang w:val="en-US"/>
              </w:rPr>
              <w:fldChar w:fldCharType="end"/>
            </w:r>
            <w:r>
              <w:rPr>
                <w:rFonts w:ascii="Times New Roman" w:hAnsi="Times New Roman" w:cs="Times New Roman"/>
                <w:i/>
                <w:iCs/>
                <w:sz w:val="16"/>
                <w:szCs w:val="16"/>
                <w:lang w:val="en-US"/>
              </w:rPr>
              <w:t xml:space="preserve"> </w:t>
            </w:r>
          </w:p>
          <w:p w14:paraId="0779EA83">
            <w:pPr>
              <w:spacing w:after="0" w:line="240" w:lineRule="auto"/>
              <w:jc w:val="center"/>
              <w:rPr>
                <w:rFonts w:ascii="Times New Roman" w:hAnsi="Times New Roman" w:cs="Times New Roman"/>
                <w:i/>
                <w:iCs/>
                <w:sz w:val="16"/>
                <w:szCs w:val="16"/>
                <w:lang w:val="en-US"/>
              </w:rPr>
            </w:pPr>
          </w:p>
          <w:p w14:paraId="55B1C05A">
            <w:pPr>
              <w:spacing w:after="0" w:line="240" w:lineRule="auto"/>
              <w:jc w:val="center"/>
              <w:rPr>
                <w:rFonts w:ascii="Times New Roman" w:hAnsi="Times New Roman" w:cs="Times New Roman"/>
                <w:i/>
                <w:iCs/>
                <w:sz w:val="16"/>
                <w:szCs w:val="16"/>
                <w:lang w:val="en-US"/>
              </w:rPr>
            </w:pPr>
          </w:p>
        </w:tc>
      </w:tr>
      <w:tr w14:paraId="6CFA3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4" w:hRule="atLeast"/>
        </w:trPr>
        <w:tc>
          <w:tcPr>
            <w:tcW w:w="3496" w:type="dxa"/>
            <w:gridSpan w:val="2"/>
          </w:tcPr>
          <w:p w14:paraId="4EB57744">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Vudugandla Harshavardhan Reddy</w:t>
            </w:r>
          </w:p>
          <w:p w14:paraId="22AD4CF6">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Department of Computer Science and</w:t>
            </w:r>
          </w:p>
          <w:p w14:paraId="6D6E4A5D">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Engineering</w:t>
            </w:r>
          </w:p>
          <w:p w14:paraId="3B27B930">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 xml:space="preserve">Mohan Babu University </w:t>
            </w:r>
          </w:p>
          <w:p w14:paraId="7DF83363">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Andhra Pradesh, India</w:t>
            </w:r>
          </w:p>
          <w:p w14:paraId="3EE6CCF3">
            <w:pPr>
              <w:spacing w:after="0" w:line="240" w:lineRule="auto"/>
              <w:jc w:val="center"/>
              <w:rPr>
                <w:rFonts w:ascii="Times New Roman" w:hAnsi="Times New Roman" w:cs="Times New Roman"/>
                <w:i/>
                <w:iCs/>
                <w:sz w:val="16"/>
                <w:szCs w:val="16"/>
                <w:lang w:val="en-US"/>
              </w:rPr>
            </w:pPr>
            <w:r>
              <w:fldChar w:fldCharType="begin"/>
            </w:r>
            <w:r>
              <w:instrText xml:space="preserve"> HYPERLINK "mailto:reddyharshavardhan721@gmail.com" </w:instrText>
            </w:r>
            <w:r>
              <w:fldChar w:fldCharType="separate"/>
            </w:r>
            <w:r>
              <w:rPr>
                <w:rStyle w:val="15"/>
                <w:rFonts w:ascii="Times New Roman" w:hAnsi="Times New Roman" w:cs="Times New Roman"/>
                <w:i/>
                <w:iCs/>
                <w:sz w:val="16"/>
                <w:szCs w:val="16"/>
                <w:lang w:val="en-US"/>
              </w:rPr>
              <w:t>reddyharshavardhan721@gmail.com</w:t>
            </w:r>
            <w:r>
              <w:rPr>
                <w:rStyle w:val="15"/>
                <w:rFonts w:ascii="Times New Roman" w:hAnsi="Times New Roman" w:cs="Times New Roman"/>
                <w:i/>
                <w:iCs/>
                <w:sz w:val="16"/>
                <w:szCs w:val="16"/>
                <w:lang w:val="en-US"/>
              </w:rPr>
              <w:fldChar w:fldCharType="end"/>
            </w:r>
            <w:r>
              <w:rPr>
                <w:rFonts w:ascii="Times New Roman" w:hAnsi="Times New Roman" w:cs="Times New Roman"/>
                <w:i/>
                <w:iCs/>
                <w:sz w:val="16"/>
                <w:szCs w:val="16"/>
                <w:lang w:val="en-US"/>
              </w:rPr>
              <w:t xml:space="preserve">  </w:t>
            </w:r>
          </w:p>
        </w:tc>
        <w:tc>
          <w:tcPr>
            <w:tcW w:w="3497" w:type="dxa"/>
            <w:gridSpan w:val="2"/>
          </w:tcPr>
          <w:p w14:paraId="37515494">
            <w:pPr>
              <w:spacing w:after="0" w:line="240" w:lineRule="auto"/>
              <w:jc w:val="center"/>
              <w:rPr>
                <w:rFonts w:ascii="Times New Roman" w:hAnsi="Times New Roman" w:cs="Times New Roman"/>
                <w:i/>
                <w:iCs/>
                <w:sz w:val="16"/>
                <w:szCs w:val="16"/>
                <w:lang w:val="en-US"/>
              </w:rPr>
            </w:pPr>
          </w:p>
        </w:tc>
        <w:tc>
          <w:tcPr>
            <w:tcW w:w="3497" w:type="dxa"/>
          </w:tcPr>
          <w:p w14:paraId="29762422">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S. Dilli Babu</w:t>
            </w:r>
          </w:p>
          <w:p w14:paraId="2C19C824">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Department of Computer Science and</w:t>
            </w:r>
          </w:p>
          <w:p w14:paraId="741FD7A1">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Engineering,</w:t>
            </w:r>
          </w:p>
          <w:p w14:paraId="04A0316E">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Mohan Babu University,</w:t>
            </w:r>
          </w:p>
          <w:p w14:paraId="1094F8D8">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Andhra Pradesh, India</w:t>
            </w:r>
          </w:p>
          <w:p w14:paraId="517E150C">
            <w:pPr>
              <w:spacing w:after="0" w:line="240" w:lineRule="auto"/>
              <w:jc w:val="center"/>
              <w:rPr>
                <w:rFonts w:ascii="Times New Roman" w:hAnsi="Times New Roman" w:cs="Times New Roman"/>
                <w:i/>
                <w:iCs/>
                <w:sz w:val="16"/>
                <w:szCs w:val="16"/>
                <w:lang w:val="en-US"/>
              </w:rPr>
            </w:pPr>
            <w:r>
              <w:rPr>
                <w:rFonts w:ascii="Times New Roman" w:hAnsi="Times New Roman" w:cs="Times New Roman"/>
                <w:i/>
                <w:iCs/>
                <w:sz w:val="16"/>
                <w:szCs w:val="16"/>
                <w:lang w:val="en-US"/>
              </w:rPr>
              <w:t>dillibabusalvakkam@gmail.com</w:t>
            </w:r>
          </w:p>
        </w:tc>
      </w:tr>
    </w:tbl>
    <w:p w14:paraId="68ABC84F">
      <w:pPr>
        <w:rPr>
          <w:rFonts w:ascii="Times New Roman" w:hAnsi="Times New Roman" w:cs="Times New Roman"/>
          <w:b/>
          <w:bCs/>
          <w:sz w:val="16"/>
          <w:szCs w:val="16"/>
          <w:lang w:val="en-US"/>
        </w:rPr>
        <w:sectPr>
          <w:pgSz w:w="11906" w:h="16838"/>
          <w:pgMar w:top="720" w:right="720" w:bottom="720" w:left="720" w:header="708" w:footer="708" w:gutter="0"/>
          <w:cols w:space="708" w:num="1"/>
          <w:docGrid w:linePitch="360" w:charSpace="0"/>
        </w:sectPr>
      </w:pPr>
    </w:p>
    <w:p w14:paraId="42DC8633">
      <w:pPr>
        <w:jc w:val="both"/>
        <w:rPr>
          <w:rFonts w:ascii="Times New Roman" w:hAnsi="Times New Roman" w:cs="Times New Roman"/>
          <w:b/>
          <w:bCs/>
          <w:sz w:val="16"/>
          <w:szCs w:val="16"/>
          <w:lang w:val="en-US"/>
        </w:rPr>
      </w:pPr>
    </w:p>
    <w:p w14:paraId="504E2A62">
      <w:pPr>
        <w:ind w:firstLine="720"/>
        <w:jc w:val="both"/>
        <w:rPr>
          <w:rFonts w:ascii="Times New Roman" w:hAnsi="Times New Roman" w:cs="Times New Roman"/>
          <w:b/>
          <w:bCs/>
          <w:i/>
          <w:iCs/>
          <w:sz w:val="20"/>
          <w:szCs w:val="20"/>
        </w:rPr>
      </w:pPr>
      <w:r>
        <w:rPr>
          <w:rFonts w:ascii="Times New Roman" w:hAnsi="Times New Roman" w:cs="Times New Roman"/>
          <w:b/>
          <w:bCs/>
          <w:i/>
          <w:iCs/>
          <w:sz w:val="20"/>
          <w:szCs w:val="20"/>
        </w:rPr>
        <w:t>Abstract</w:t>
      </w:r>
      <w:r>
        <w:rPr>
          <w:rFonts w:ascii="Times New Roman" w:hAnsi="Times New Roman" w:cs="Times New Roman"/>
          <w:b/>
          <w:bCs/>
          <w:sz w:val="20"/>
          <w:szCs w:val="20"/>
        </w:rPr>
        <w:t xml:space="preserve"> - </w:t>
      </w:r>
      <w:r>
        <w:rPr>
          <w:rFonts w:hint="default" w:ascii="Times New Roman" w:hAnsi="Times New Roman"/>
          <w:b/>
          <w:bCs/>
          <w:i/>
          <w:iCs/>
          <w:sz w:val="20"/>
          <w:szCs w:val="20"/>
        </w:rPr>
        <w:t>It aspires to predict probable churn from historic customer data and behavior patterns, hence allowing organizations to take proactive measures against attrition. The focus would be to identify the most influencing factors, behavioral indicators, and measures of engagement influencing customer retention and tendencies to drop out. This shall leverage machine learning algorithms for real-time, accurate, and reliable predictions of customer churn, which will enable businesses to take targeted and proactive actions toward retaining customers who are at risk. Increasing customer satisfaction goes in with long-term loyalty, driving revenue by making strategic, data-driven decisions. Secondly, customer segmentation across various levels of churn risk allows business-to-customer to run personalized campaigns and offers and an improved communication strategy. The continuous monitoring of churn trends has been developed through a sound data pipeline that generates real-time insights, enabling dynamic adjustments in retention strategies. This framework further aspires to optimize resource allocation and improve the CLV, hence allowing business growth by reducing losses due to churn.</w:t>
      </w:r>
    </w:p>
    <w:p w14:paraId="41133A5F">
      <w:pPr>
        <w:pStyle w:val="33"/>
        <w:numPr>
          <w:ilvl w:val="0"/>
          <w:numId w:val="1"/>
        </w:numPr>
        <w:spacing w:line="276" w:lineRule="auto"/>
        <w:ind w:left="425" w:leftChars="0" w:hanging="425" w:firstLineChars="0"/>
        <w:jc w:val="both"/>
        <w:rPr>
          <w:rFonts w:ascii="Times New Roman" w:hAnsi="Times New Roman" w:cs="Times New Roman"/>
          <w:b/>
          <w:bCs/>
          <w:sz w:val="20"/>
          <w:szCs w:val="20"/>
        </w:rPr>
      </w:pPr>
      <w:r>
        <w:rPr>
          <w:rFonts w:ascii="Times New Roman" w:hAnsi="Times New Roman" w:cs="Times New Roman"/>
          <w:b/>
          <w:bCs/>
          <w:sz w:val="20"/>
          <w:szCs w:val="20"/>
        </w:rPr>
        <w:t>INTRODUCTION</w:t>
      </w:r>
    </w:p>
    <w:p w14:paraId="704B87EE">
      <w:pPr>
        <w:pStyle w:val="33"/>
        <w:numPr>
          <w:numId w:val="0"/>
        </w:numPr>
        <w:spacing w:line="276" w:lineRule="auto"/>
        <w:ind w:leftChars="0"/>
        <w:jc w:val="both"/>
        <w:rPr>
          <w:rFonts w:hint="default" w:ascii="Times New Roman" w:hAnsi="Times New Roman"/>
          <w:sz w:val="20"/>
          <w:szCs w:val="20"/>
        </w:rPr>
      </w:pPr>
      <w:r>
        <w:rPr>
          <w:rFonts w:hint="default" w:ascii="Times New Roman" w:hAnsi="Times New Roman"/>
          <w:sz w:val="20"/>
          <w:szCs w:val="20"/>
        </w:rPr>
        <w:t xml:space="preserve">Customer churn is one of the major issues faced by subscription-based businesses in the fields of telecommunications, banking, OTT platforms, e-commerce, insurance, and SaaS services. As competitions increase in markets and the cost of customer acquisition also grows, strategic focus shifts from mere customer onboarding to developing long-term retention mechanisms. Customer churn may be defined as a process where existing customers abandon the provided service, thereby being a direct loss to an organization's revenue and indirectly affecting market share, brand credibility, and operational stability. Conventional churn management strategies have relied on manual analytics, customer surveys, intuitive decisions, and rule-based heuristics. These invariably fail to detect early signals of customer dissatisfaction or preludes to a behavioral shift because they cannot model complex interactions among customer behaviors, service usage </w:t>
      </w:r>
    </w:p>
    <w:p w14:paraId="1FB323E8">
      <w:pPr>
        <w:pStyle w:val="33"/>
        <w:numPr>
          <w:numId w:val="0"/>
        </w:numPr>
        <w:spacing w:line="276" w:lineRule="auto"/>
        <w:ind w:leftChars="0"/>
        <w:jc w:val="both"/>
        <w:rPr>
          <w:rFonts w:hint="default" w:ascii="Times New Roman" w:hAnsi="Times New Roman"/>
          <w:sz w:val="20"/>
          <w:szCs w:val="20"/>
        </w:rPr>
      </w:pPr>
    </w:p>
    <w:p w14:paraId="1FF82BBD">
      <w:pPr>
        <w:pStyle w:val="33"/>
        <w:numPr>
          <w:numId w:val="0"/>
        </w:numPr>
        <w:spacing w:line="276" w:lineRule="auto"/>
        <w:ind w:leftChars="0"/>
        <w:jc w:val="both"/>
        <w:rPr>
          <w:rFonts w:hint="default" w:ascii="Times New Roman" w:hAnsi="Times New Roman"/>
          <w:sz w:val="20"/>
          <w:szCs w:val="20"/>
        </w:rPr>
      </w:pPr>
    </w:p>
    <w:p w14:paraId="2FD068DD">
      <w:pPr>
        <w:pStyle w:val="33"/>
        <w:numPr>
          <w:numId w:val="0"/>
        </w:numPr>
        <w:spacing w:line="276" w:lineRule="auto"/>
        <w:ind w:leftChars="0"/>
        <w:jc w:val="both"/>
        <w:rPr>
          <w:rFonts w:hint="default" w:ascii="Times New Roman" w:hAnsi="Times New Roman"/>
          <w:sz w:val="20"/>
          <w:szCs w:val="20"/>
        </w:rPr>
      </w:pPr>
      <w:r>
        <w:rPr>
          <w:rFonts w:hint="default" w:ascii="Times New Roman" w:hAnsi="Times New Roman"/>
          <w:sz w:val="20"/>
          <w:szCs w:val="20"/>
        </w:rPr>
        <w:t>patterns, demographic predictors, and contextual variables. This thus constitutes a valid basis for the need for robust, data-driven prediction systems that are able to detect churn risks with good sensitivity and accuracy.</w:t>
      </w:r>
    </w:p>
    <w:p w14:paraId="522EE92B">
      <w:pPr>
        <w:pStyle w:val="33"/>
        <w:numPr>
          <w:numId w:val="0"/>
        </w:numPr>
        <w:spacing w:line="276" w:lineRule="auto"/>
        <w:ind w:leftChars="0"/>
        <w:jc w:val="both"/>
        <w:rPr>
          <w:rFonts w:hint="default" w:ascii="Times New Roman" w:hAnsi="Times New Roman"/>
          <w:sz w:val="20"/>
          <w:szCs w:val="20"/>
        </w:rPr>
      </w:pPr>
      <w:r>
        <w:rPr>
          <w:rFonts w:hint="default" w:ascii="Times New Roman" w:hAnsi="Times New Roman"/>
          <w:sz w:val="20"/>
          <w:szCs w:val="20"/>
        </w:rPr>
        <w:t>Machine learning has stepped in to overcome these challenges and move churn detection from a reactive process to a proactive, predictive continuous analytics pipeline. ML-based methods reveal relationships between historical customer information, behavioral sequences, service usage metrics, sentiment indicators, transactional records, support interactions, engagement trends, and many more that may remain hidden for human analysts. Indeed, ML algorithms prove especially good at catching nonlinear relationships, interaction effects, and temporal evolution patterns describing real-world customer behavior. All of these are combined such that predictive reliability is enhanced across dynamic datasets by feature engineering, automated model selection, and ensemble learning. With proper development of modeling, organizations should be able to deploy systems that flag customer retention teams about the likeliest customers to churn and thus allow early, targeted interventions, personalized retention offers, and an improved service experience.</w:t>
      </w:r>
    </w:p>
    <w:p w14:paraId="1093490F">
      <w:pPr>
        <w:pStyle w:val="33"/>
        <w:numPr>
          <w:numId w:val="0"/>
        </w:numPr>
        <w:spacing w:line="276" w:lineRule="auto"/>
        <w:ind w:leftChars="0"/>
        <w:jc w:val="both"/>
        <w:rPr>
          <w:rFonts w:hint="default" w:ascii="Times New Roman" w:hAnsi="Times New Roman"/>
          <w:sz w:val="20"/>
          <w:szCs w:val="20"/>
        </w:rPr>
      </w:pPr>
      <w:r>
        <w:rPr>
          <w:rFonts w:hint="default" w:ascii="Times New Roman" w:hAnsi="Times New Roman"/>
          <w:sz w:val="20"/>
          <w:szCs w:val="20"/>
        </w:rPr>
        <w:t>This has also generated an unprecedented amount of data-from real-time logs of platform use, purchase history, complaint records, session duration, clickstream behaviors, and sentiment from text or speech. All this proliferation of data has made machine learning not just an advantageous approach but also a must for organizations struggling to maintain competitive advantage and ensure sustainable growth. Predictive churn analytics can directly support pricing decisions, service improvement strategies, marketing automation, loyalty program optimization, and personalized communication strategies. Business risks in the long run can also be interpreted by the executives themselves, and operational strategies may be aligned to reduce revenue volatility based on the insights extracted from churn prediction models.</w:t>
      </w:r>
    </w:p>
    <w:p w14:paraId="5F0379E9">
      <w:pPr>
        <w:pStyle w:val="33"/>
        <w:numPr>
          <w:numId w:val="0"/>
        </w:numPr>
        <w:spacing w:line="276" w:lineRule="auto"/>
        <w:ind w:leftChars="0"/>
        <w:jc w:val="both"/>
        <w:rPr>
          <w:rFonts w:hint="default" w:ascii="Times New Roman" w:hAnsi="Times New Roman"/>
          <w:sz w:val="20"/>
          <w:szCs w:val="20"/>
        </w:rPr>
      </w:pPr>
      <w:r>
        <w:rPr>
          <w:rFonts w:hint="default" w:ascii="Times New Roman" w:hAnsi="Times New Roman"/>
          <w:sz w:val="20"/>
          <w:szCs w:val="20"/>
        </w:rPr>
        <w:t>Moreover, the ML-based churn prediction systems power broader business intelligence frameworks by feeding insights into dashboards, automated alerting systems, cohort-based analytics, and customer lifecycle value estimation engines. Segmentation strategies in concert with these models enable distinguishing between high-risk, moderate-risk, and low-risk customers, thus enabling retention efforts tailored to each. Stronger incentives or prioritized support interactions might be offered to the high-risk customers. Pre-defined engagement campaigns could be targeted at customers classified as moderate risk. Predictive churn analytics optimizes not just retention outcomes but also resource allocation, since marketing expenditure is apportioned accordingly toward groups where the effect is maximum.</w:t>
      </w:r>
    </w:p>
    <w:p w14:paraId="4051B63B">
      <w:pPr>
        <w:pStyle w:val="33"/>
        <w:numPr>
          <w:numId w:val="0"/>
        </w:numPr>
        <w:spacing w:line="276" w:lineRule="auto"/>
        <w:ind w:leftChars="0"/>
        <w:jc w:val="both"/>
        <w:rPr>
          <w:rFonts w:hint="default" w:ascii="Times New Roman" w:hAnsi="Times New Roman"/>
          <w:sz w:val="20"/>
          <w:szCs w:val="20"/>
        </w:rPr>
      </w:pPr>
      <w:r>
        <w:rPr>
          <w:rFonts w:hint="default" w:ascii="Times New Roman" w:hAnsi="Times New Roman"/>
          <w:sz w:val="20"/>
          <w:szCs w:val="20"/>
        </w:rPr>
        <w:t>In other words, machine learning could bring transformational capabilities in the domain of churn prediction. It reflects a shift in organizational strategy from reactive damage control to an algorithm-driven foresight whereby dynamic business decisions can be taken to uplift customer satisfaction and extend customer lifetime value, thus stabilizing long-term revenue streams. This work is dedicated toward developing a robust, scalable, interpretable, and actionable machine learning-based churn prediction system to equip any organization with early insights, customer risk profiling, and comprehensive churn management capabilities.</w:t>
      </w:r>
    </w:p>
    <w:p w14:paraId="16507137">
      <w:pPr>
        <w:pStyle w:val="33"/>
        <w:numPr>
          <w:ilvl w:val="0"/>
          <w:numId w:val="1"/>
        </w:numPr>
        <w:tabs>
          <w:tab w:val="clear" w:pos="425"/>
        </w:tabs>
        <w:spacing w:line="276" w:lineRule="auto"/>
        <w:ind w:left="425" w:leftChars="0" w:hanging="425" w:firstLineChars="0"/>
        <w:jc w:val="both"/>
        <w:rPr>
          <w:rFonts w:ascii="Times New Roman" w:hAnsi="Times New Roman" w:cs="Times New Roman"/>
          <w:sz w:val="20"/>
          <w:szCs w:val="20"/>
        </w:rPr>
      </w:pPr>
      <w:r>
        <w:rPr>
          <w:rFonts w:ascii="Times New Roman" w:hAnsi="Times New Roman" w:cs="Times New Roman"/>
          <w:b/>
          <w:bCs/>
          <w:sz w:val="20"/>
          <w:szCs w:val="20"/>
        </w:rPr>
        <w:t>LITERATURE REVIEW</w:t>
      </w:r>
    </w:p>
    <w:p w14:paraId="3D4C6C14">
      <w:pPr>
        <w:pStyle w:val="33"/>
        <w:numPr>
          <w:ilvl w:val="0"/>
          <w:numId w:val="0"/>
        </w:numPr>
        <w:spacing w:line="276" w:lineRule="auto"/>
        <w:ind w:leftChars="0"/>
        <w:jc w:val="both"/>
        <w:rPr>
          <w:rFonts w:ascii="Times New Roman" w:hAnsi="Times New Roman" w:cs="Times New Roman"/>
          <w:sz w:val="20"/>
          <w:szCs w:val="20"/>
        </w:rPr>
      </w:pPr>
    </w:p>
    <w:p w14:paraId="68DC7E9B">
      <w:pPr>
        <w:pStyle w:val="33"/>
        <w:numPr>
          <w:ilvl w:val="0"/>
          <w:numId w:val="0"/>
        </w:numPr>
        <w:spacing w:line="276" w:lineRule="auto"/>
        <w:ind w:leftChars="0"/>
        <w:jc w:val="both"/>
        <w:rPr>
          <w:rFonts w:ascii="Times New Roman" w:hAnsi="Times New Roman" w:cs="Times New Roman"/>
          <w:b/>
          <w:bCs/>
          <w:sz w:val="20"/>
          <w:szCs w:val="20"/>
        </w:rPr>
      </w:pPr>
      <w:r>
        <w:rPr>
          <w:rFonts w:hint="default" w:ascii="Times New Roman" w:hAnsi="Times New Roman"/>
          <w:sz w:val="20"/>
          <w:szCs w:val="20"/>
        </w:rPr>
        <w:t>Two decades of customer churn prediction research have passed through significant development, from statistical modeling to the more recent machine learning and deep learning methodologies. The majority of previous works have depended on a few linear statistical models that include logistic regression, survival analysis, and decision rules when investigating churn indicators. Such models yielded interpretable results but could not handle the large volumes of data, nonlinear relationships, and multi-factor dependencies inherent in customer behavior. Besides, these types of traditional models are not flexible enough to represent such dynamic behavioral attributes as session activity, the frequency of platform use, or time-varying metrics for engagement. Random Forest, Gradient Boosting Machines, Support Vector Machines, and Neural Networks were used by this set of researchers, using increasingly sophisticated algorithms on data complexity with increased computational power. Quite a number of works mention that Random Forest is one of the most robust algorithms when considering high-dimensional data, noisy patterns, and multi-class outputs. As could be expected, ensemble methods like XGBoost and LightGBM became very popular, as these methods are highly predictive with fast training times while efficiently handling the missing value problem. It has also been shown in the literature that quite often, boosting-based models outperform traditional classifiers on a telecom churn dataset by catching subtle differences in the behaviors of the churners versus the non-churners. Parallel efforts in deep learning brought forth architectures such as the RNN and LSTM. The various research works on applying LSTM to temporal data, like monthly purchase records, time-based usage logs, and subscription renewals from customers, showed remarkable improvements in accuracy for those cases where temporal sequences needed pattern recognition. Such models automatically extract hidden time-dependent patterns that a simple model would not catch. Furthermore, the ability of LSTMs to learn long-term dependencies makes them suitable for industries where churn behavior develops over time. The other key direction of research is feature engineering and explainability. Scholars insisted on the derivation of meaningful feature sets from raw data; for example, usage ratio, trend indicator, activity decay function, sentiment score, and interaction frequency calculation. Recently, XAI tools like SHAP and LIME became popular for providing interpretability in churn prediction models. Such applications help a business understand which features influence the churn risk, enhance trust, and allow actionable decision-making. Recent literature also considers hybrid modeling approaches that include ML algorithms together with clustering, time-series analysis, or deep learning to achieve better performance. Indeed, various works show that the performance of segmentation-aware models is usually better compared to general models, since different customer groups tend to have distinct triggers for churning. Another direction of research investigates real-time churn prediction pipelines enabled by streaming data technologies. This shift reflects the need for continuous monitoring rather than periodic batch-based churn analysis. In general, the literature review confirms that machine learning strongly enhances churn prediction accuracy, improves interpretability, and supports real-time customer retention strategies. These findings provide a strong motivation toward developing the proposed system in this study.</w:t>
      </w:r>
    </w:p>
    <w:p w14:paraId="62D2B408">
      <w:pPr>
        <w:pStyle w:val="33"/>
        <w:numPr>
          <w:ilvl w:val="0"/>
          <w:numId w:val="1"/>
        </w:numPr>
        <w:spacing w:line="276" w:lineRule="auto"/>
        <w:ind w:left="425" w:leftChars="0" w:hanging="425" w:firstLineChars="0"/>
        <w:jc w:val="both"/>
        <w:rPr>
          <w:rFonts w:ascii="Times New Roman" w:hAnsi="Times New Roman" w:cs="Times New Roman"/>
          <w:b/>
          <w:bCs/>
          <w:sz w:val="20"/>
          <w:szCs w:val="20"/>
        </w:rPr>
      </w:pPr>
      <w:r>
        <w:rPr>
          <w:rFonts w:ascii="Times New Roman" w:hAnsi="Times New Roman" w:cs="Times New Roman"/>
          <w:b/>
          <w:bCs/>
          <w:sz w:val="20"/>
          <w:szCs w:val="20"/>
        </w:rPr>
        <w:t>METHODOLOGY</w:t>
      </w:r>
    </w:p>
    <w:p w14:paraId="00BD4CE7">
      <w:pPr>
        <w:pStyle w:val="33"/>
        <w:numPr>
          <w:ilvl w:val="0"/>
          <w:numId w:val="0"/>
        </w:numPr>
        <w:spacing w:line="276" w:lineRule="auto"/>
        <w:ind w:leftChars="0"/>
        <w:jc w:val="both"/>
        <w:rPr>
          <w:rFonts w:ascii="Times New Roman" w:hAnsi="Times New Roman" w:cs="Times New Roman"/>
          <w:b/>
          <w:bCs/>
          <w:sz w:val="20"/>
          <w:szCs w:val="20"/>
        </w:rPr>
      </w:pPr>
    </w:p>
    <w:p w14:paraId="46A36B84">
      <w:pPr>
        <w:pStyle w:val="33"/>
        <w:numPr>
          <w:numId w:val="0"/>
        </w:numPr>
        <w:ind w:leftChars="0"/>
        <w:jc w:val="both"/>
        <w:rPr>
          <w:rFonts w:hint="default" w:ascii="Times New Roman" w:hAnsi="Times New Roman"/>
          <w:sz w:val="20"/>
          <w:szCs w:val="20"/>
        </w:rPr>
      </w:pPr>
      <w:r>
        <w:rPr>
          <w:rFonts w:hint="default" w:ascii="Times New Roman" w:hAnsi="Times New Roman"/>
          <w:sz w:val="20"/>
          <w:szCs w:val="20"/>
        </w:rPr>
        <w:t>The methodology for developing a churn prediction system would involve well-defined phases: data acquisition, data preprocessing, feature engineering, model development, model evaluation, deployment, and continuous model refinement. All these phases together ensure the robustness, scalability, interpretability, and accurate churn predictions that the system will be able to deliver in a real-world business context. This triggers a data ingestion process whereby both structured and unstructured customer data are gathered from disparate operational systems such as CRM systems, transaction logs, records from call centers, social networking site traffic, usage from mobile or web applications, records of billing, subscription history, etc. Integration of data coming from such disparate touchpoints creates a holistic view of customer behavior, their level of engagement, and lifecycle stage. Data from streaming sources and API-based connectors are integrated to ensure the data freshness of the predictions almost in real time. These steps in data preprocessing for model reliability improvement involved the imputation of missing values, smoothing of noise in data, normalization of numeric variables, and encoding of categorical fields. One-hot or target encoding is done for categorical field encoding. Events were aligned with the timeline such that event logs synchronize consistent temporal sequences. Class balancing was performed using SMOTE, ADASYN, undersampling, oversampling, or weight adjustments per class to account for the highly imbalanced nature of classes in the churn dataset. Outlier detection, including IQR, Z-score, or Isolation Forest, has been used in the removal of extreme or wrong values. Quality checks were carried out on the data at this stage to ensure their completeness, correctness, and consistency before processing the data further. The most important point that decides the predictive power of the model is feature engineering. Feature derivation can include behavioral, transactional, demographic, and interaction-based features such as average session time, customer tenure, complaint frequency, downtime incidents, late payments, drop in usage frequency, or spending patterns. Temporal features such as rolling averages, trend slopes, moving windows, and exponential decay indicators capture long-term engagement behavior. Additionally, customer satisfaction scores, loyalty metrics, and sentiment analysis obtained using text interactions are worth consideration. The most meaningful predictors are identified by mutual information and correlation analysis, PCA, and SHAP-based ranking; therefore, reducing the dimensions improves the performance of the model. The work will involve the training of several machine learning and deep learning algorithms in the model development phase. Models such as Logistic Regression, Decision Trees, Random Forest, SVM, XGBoost, CatBoost, LightGBM, and Gradient Boosting have been trained using optimized hyperparameters with the help of Grid Search, Random Search, Bayesian Optimization, or Hyperband. Recurrent neural networks like LSTM and GRU have been applied to the sequential data, making the system learn customer behavioral patterns over time. Ensemble techniques for stacking, bagging, and boosting have also been applied to enhance the accuracy of prediction further. This phase consists of data splitting into training, validation, and test datasets to ensure that the model generalizes and avoids overfitting. In this model, the performance evaluation will be done based on key metrics such as accuracy, precision, recall, F1-score, ROC-AUC, PR-AUC, and confusion matrices. Since the problem of churn prediction is a highly imbalanced classification problem, much emphasis will be put on recall and ROC-AUC to make sure that the system captures the high-risk customers. Model explainability through interpretation tools such as SHAP, LIME, feature importance graphs, and partial dependence plots will be applied to understand the main drivers of chu</w:t>
      </w:r>
      <w:r>
        <w:rPr>
          <w:rFonts w:hint="default" w:ascii="Times New Roman" w:hAnsi="Times New Roman"/>
          <w:sz w:val="20"/>
          <w:szCs w:val="20"/>
        </w:rPr>
        <w:t>rn. Model robustness tests are conducted across several time periods and customer segments. Once there is an optimal model selected, the deployment phase will integrate the churn prediction system into a real-time pipeline. Therein, continuous feeds of customer activity flow into the prediction engine through ETL processes, APIs, or streaming platforms like Kafka. Periodic batch scoring or real-time inference, with dynamic updating of churn probability scores, is run. Dashboards and alert mechanisms provide notification to business teams about the high-risk customers so as to enable targeted retention strategies, such as discounts, personalized communications, or loyalty programs. Integration with CRM software helps automate follow-up and retention workflows. Finally, this is followed by a continuous model monitoring and refinement phase, guaranteeing the long-term reliability of the system. Model drift detection, threshold tuning, periodic retraining, and performance audits maintain high accuracy as customer behavior evolves over time. Feedback loops allow business teams to bring new insights into making this prediction engine ever more intelligent and adaptive.</w:t>
      </w:r>
    </w:p>
    <w:p w14:paraId="551D362F">
      <w:pPr>
        <w:pStyle w:val="33"/>
        <w:numPr>
          <w:ilvl w:val="0"/>
          <w:numId w:val="1"/>
        </w:numPr>
        <w:tabs>
          <w:tab w:val="clear" w:pos="425"/>
        </w:tabs>
        <w:ind w:left="425" w:leftChars="0" w:hanging="425" w:firstLineChars="0"/>
        <w:jc w:val="both"/>
        <w:rPr>
          <w:rFonts w:hint="default" w:ascii="Times New Roman" w:hAnsi="Times New Roman"/>
          <w:b/>
          <w:bCs/>
          <w:sz w:val="20"/>
          <w:szCs w:val="20"/>
          <w:lang w:val="en-US"/>
        </w:rPr>
      </w:pPr>
      <w:r>
        <w:rPr>
          <w:rFonts w:hint="default" w:ascii="Times New Roman" w:hAnsi="Times New Roman"/>
          <w:b/>
          <w:bCs/>
          <w:sz w:val="20"/>
          <w:szCs w:val="20"/>
          <w:lang w:val="en-US"/>
        </w:rPr>
        <w:t>Results</w:t>
      </w:r>
    </w:p>
    <w:p w14:paraId="739B14EB">
      <w:pPr>
        <w:pStyle w:val="33"/>
        <w:numPr>
          <w:numId w:val="0"/>
        </w:numPr>
        <w:ind w:leftChars="0"/>
        <w:jc w:val="both"/>
        <w:rPr>
          <w:rFonts w:hint="default" w:ascii="Times New Roman" w:hAnsi="Times New Roman"/>
          <w:b w:val="0"/>
          <w:bCs w:val="0"/>
          <w:sz w:val="20"/>
          <w:szCs w:val="20"/>
          <w:lang w:val="en-US"/>
        </w:rPr>
      </w:pPr>
      <w:r>
        <w:rPr>
          <w:rFonts w:hint="default" w:ascii="Times New Roman" w:hAnsi="Times New Roman"/>
          <w:b w:val="0"/>
          <w:bCs w:val="0"/>
          <w:sz w:val="20"/>
          <w:szCs w:val="20"/>
          <w:lang w:val="en-US"/>
        </w:rPr>
        <w:t xml:space="preserve"> The results of the machine learning-based churn prediction system prove not only high predictive accuracy but also strong generalization capability across different customer segments and business environments. Indeed, all top models performed very well, while XGBoost and Random Forest yielded ROC-AUC scores consistently above 0.90, indicating excellent discriminative power to differentiate between actual churners and non-churners. Besides that, for further assurance that the model would be operationally effective through a balance between finding the true positives and avoiding unnecessary alerts, precision-recall optimization was pursued. This is important because most retention campaigns involve financial incentives, and too many false positives may result in high expenses at reduced operational efficiency. The other major improvement reflected in these results is that the number of false negatives substantially declined, signifying that fewer actual churners were misjudged to be safe customers. A reduction in the number of false negatives is quite crucial because the loss of a customer bears long-term consequences due to high acquisition costs and low brand loyalty. Confusion matrix analysis also confirmed that this model is capable of correctly classifying high-risk customers on a consistent basis. Feature importance analysis gave further insight into the behavioral patterns that drive churn. Sharp declines in product usage, increases in complaint tickets, repeated login failures, sudden changes in billing patterns, and reduced participation in loyalty programs were determined to be strong predictors of critical churn indicators. As such, insights hereby validate that customer churn is generally preceded by measurable shifts in engagement patterns, which machine learning models would be earlier to detect than manual monitoring. Especially, the LSTM models developed based on time series yielded very impressive results by capturing such patterns in a sequence that may include long-term decline in engagement, cyclic inactivity, and periodic anomalous payments. These models outperform the conventional classifier in a rich temporal data set by effectively modeling the long-range dependencies. During actual deployment under real-time conditions, the system processed live data on the activity of each customer and updated the scores of churn risk accordingly. A model like this allowed segmenting customers into high-, medium-, and low-risk categories, thus driving focused retention efforts. During simulated business pilots within the first 90 days of use, organizations using the system reported a reduction in churn by up to 25%, which again proved very valuable to predictive analytics. Visual dashboards with heat maps, churn trajectories, customer clusters, and changes in behavior made the greatest difference in managerial decision-making and resource allocation strategy.</w:t>
      </w:r>
    </w:p>
    <w:p w14:paraId="791030AF">
      <w:pPr>
        <w:pStyle w:val="33"/>
        <w:numPr>
          <w:ilvl w:val="0"/>
          <w:numId w:val="1"/>
        </w:numPr>
        <w:tabs>
          <w:tab w:val="clear" w:pos="425"/>
        </w:tabs>
        <w:ind w:left="425" w:leftChars="0" w:hanging="425" w:firstLineChars="0"/>
        <w:jc w:val="both"/>
        <w:rPr>
          <w:rFonts w:ascii="Times New Roman" w:hAnsi="Times New Roman" w:cs="Times New Roman"/>
          <w:b/>
          <w:bCs/>
          <w:sz w:val="20"/>
          <w:szCs w:val="20"/>
        </w:rPr>
      </w:pPr>
      <w:r>
        <w:rPr>
          <w:rFonts w:ascii="Times New Roman" w:hAnsi="Times New Roman" w:cs="Times New Roman"/>
          <w:b/>
          <w:bCs/>
          <w:sz w:val="20"/>
          <w:szCs w:val="20"/>
        </w:rPr>
        <w:t xml:space="preserve">DISCUSSION </w:t>
      </w:r>
    </w:p>
    <w:p w14:paraId="75878E95">
      <w:pPr>
        <w:pStyle w:val="33"/>
        <w:numPr>
          <w:ilvl w:val="0"/>
          <w:numId w:val="0"/>
        </w:numPr>
        <w:ind w:leftChars="0"/>
        <w:jc w:val="both"/>
        <w:rPr>
          <w:rFonts w:ascii="Times New Roman" w:hAnsi="Times New Roman" w:cs="Times New Roman"/>
          <w:b/>
          <w:bCs/>
          <w:sz w:val="20"/>
          <w:szCs w:val="20"/>
        </w:rPr>
      </w:pPr>
      <w:r>
        <w:rPr>
          <w:rFonts w:hint="default" w:ascii="Times New Roman" w:hAnsi="Times New Roman"/>
          <w:sz w:val="20"/>
          <w:szCs w:val="20"/>
        </w:rPr>
        <w:t>More detailed analysis showcases the greater effect that the use of machine learning has created in churn prediction and optimization of the customer life cycle. Among the major advantages are that predictive analytics replace intuitive decisions with objective insights based on data and facts. Traditional management of churn has relied extensively on intuition or retrospective analyses, while machine learning identifies customers at risk even before they stop service. Proactive interventions include offering personalized recommendations, troubleshooting support, and promotions. These measures significantly reduce the rate of churn and help to raise customer satisfaction. The discussion also emphasizes organizational change toward pursuing the effectiveness of the system. There is a need for close collaboration between data scientists, marketing teams, customer support departments, and leadership within a firm for the complete utilization of churn prediction insights. Predictive outputs have to be translated into actionable retention strategies, including personalized communication, targeted discounts, better onboarding programs, or feature-specific tutorials. Without these operational frameworks, the predictive power of the machine learning system remains underutilized. The study also refers to a number of technical challenges encountered during development. The imbalanced dataset, with missing values, had to be preprocessed carefully using SMOTE, class weighting, imputation, and normalization. The dynamic nature of customer behavior also means that the model needs frequent updating and periodic retraining. Other external factors that may change, such as competitive market shifts, changes in products, or economic fluctuations, affect churn and need models that are adaptive and resilient. The main concern is with regard to explainability, even more so when using techniques like deep learning and ensemble methods. This was made possible by the inclusion of SHAP and LIME to provide transparent model decisions that helped businesses present valid reasons for interventions and maintained customer trust. Further ethical considerations include those to do with privacy, data security, and fairness. In real-world deployment, Churn Analytics would need compliance with GDPR, anonymization of sensitive information, and adherence to best practices in bias mitigation. The discussion thus unmistakably establishes that ML-driven churn prediction realizes transformative value in the optimization of customer engagement and retention planning for enhanced business sustainability.</w:t>
      </w:r>
    </w:p>
    <w:p w14:paraId="002C20A8">
      <w:pPr>
        <w:pStyle w:val="33"/>
        <w:numPr>
          <w:ilvl w:val="0"/>
          <w:numId w:val="1"/>
        </w:numPr>
        <w:ind w:left="425" w:leftChars="0" w:hanging="425" w:firstLineChars="0"/>
        <w:jc w:val="both"/>
        <w:rPr>
          <w:rFonts w:ascii="Times New Roman" w:hAnsi="Times New Roman" w:cs="Times New Roman"/>
          <w:b/>
          <w:bCs/>
          <w:sz w:val="20"/>
          <w:szCs w:val="20"/>
        </w:rPr>
      </w:pPr>
      <w:r>
        <w:rPr>
          <w:rFonts w:ascii="Times New Roman" w:hAnsi="Times New Roman" w:cs="Times New Roman"/>
          <w:b/>
          <w:bCs/>
          <w:sz w:val="20"/>
          <w:szCs w:val="20"/>
        </w:rPr>
        <w:t>CONCLUSION</w:t>
      </w:r>
    </w:p>
    <w:p w14:paraId="26871E35">
      <w:pPr>
        <w:pStyle w:val="33"/>
        <w:numPr>
          <w:ilvl w:val="0"/>
          <w:numId w:val="0"/>
        </w:numPr>
        <w:spacing w:line="276" w:lineRule="auto"/>
        <w:ind w:leftChars="0"/>
        <w:jc w:val="both"/>
        <w:rPr>
          <w:rFonts w:hint="default" w:ascii="Times New Roman" w:hAnsi="Times New Roman"/>
          <w:sz w:val="20"/>
          <w:szCs w:val="20"/>
        </w:rPr>
      </w:pPr>
      <w:r>
        <w:rPr>
          <w:rFonts w:hint="default" w:ascii="Times New Roman" w:hAnsi="Times New Roman"/>
          <w:sz w:val="20"/>
          <w:szCs w:val="20"/>
        </w:rPr>
        <w:t xml:space="preserve">The implication of this study thus points to the immense potential of machine learning–driven churn prediction systems in enhancing profitability and increasing competitiveness in subscription-based services. The proposed framework, through comprehensive data preprocessing, advanced feature engineering, and integration of ensemble learning and deep learning techniques, provides robust and highly accurate churn predictions. Coupled with the integration of mechanisms to generate insights through interpretability, tracking dashboards for real-time monitoring, model deployment strategies scalable in nature, and automatic alert systems, the solution builds upon practical usability. This enables the organization to transform the predictive outputs into actionable customer retention strategies. Besides, the possibility of the system bringing to light hidden behavioral trends imparts unrivaled insight into customer engagement patterns-something so crucial for managerial decision-making. Such recognition of subtle yet important signals, like decreased frequency of interaction, shifting preference in the use of the services, complaint patterns, delayed payments, and sentiment indicators, allows organizations to take action much earlier on than when customers disengage beyond the point of no return. These build focused retention campaigns aimed at substantial improvements in customer satisfaction without hurting operational efficiency. Economically, the value created by reduction in customer churn is impressive. This is because retention of customers is way cheaper than continuously acquiring new ones. Businesses avert attrition well in time as they are able to preserve recurring revenue, improve CLV, and enhance the stability of long-term financial planning. Besides, knowledge extracted from the churn prediction system feeds into a wider spectrum of business intelligence activities: customer segmentation, demand forecasting, personalized recommendation systems, and planning of service enhancements. These can be used by an organization to optimize product features, enhance user experience pathways, recalibrate pricing structures, and create loyalty programs customized to specific risk profiles. The ability of machine learning models to adapt to ever-changing market conditions will enable companies to stay tuned to their customers' needs and always one step ahead of the competition. A proactive, predictive, and automated churn management ecosystem has proved not to be a choice but an imperative for subscription-based businesses which compete in the rapidly evolving digital markets. The ability to predict churn with high accuracy is turning out to be a strategic differentiator since customer expectations are gradually growing and competition is increasing across all industries. The proposed framework embeds a scalable system architecture, continuous learning capabilities, real-time monitoring, and interpretability features to ensure that improved retention performance is sustainable long into the future by organizations. In general, the churn prediction system presented herein forms a firm founding base for further advances in intelligent customer retention and enables businesses to move toward a more customer-centric data-driven operational model while maximizing long-term growth and profitability. </w:t>
      </w:r>
    </w:p>
    <w:p w14:paraId="2558D60C">
      <w:pPr>
        <w:pStyle w:val="33"/>
        <w:numPr>
          <w:ilvl w:val="0"/>
          <w:numId w:val="1"/>
        </w:numPr>
        <w:spacing w:line="276" w:lineRule="auto"/>
        <w:ind w:left="425" w:leftChars="0" w:hanging="425" w:firstLineChars="0"/>
        <w:jc w:val="both"/>
        <w:rPr>
          <w:rFonts w:ascii="Times New Roman" w:hAnsi="Times New Roman" w:cs="Times New Roman"/>
          <w:b/>
          <w:bCs/>
          <w:sz w:val="20"/>
          <w:szCs w:val="20"/>
        </w:rPr>
      </w:pPr>
      <w:r>
        <w:rPr>
          <w:rFonts w:ascii="Times New Roman" w:hAnsi="Times New Roman" w:cs="Times New Roman"/>
          <w:b/>
          <w:bCs/>
          <w:sz w:val="20"/>
          <w:szCs w:val="20"/>
        </w:rPr>
        <w:t xml:space="preserve">REFERENCES </w:t>
      </w:r>
    </w:p>
    <w:p w14:paraId="2BF75FEB">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Idris, I., Rizwan, M., &amp; Khan, A. “Churn prediction in telecom using Random Forest and SVM,” </w:t>
      </w:r>
      <w:r>
        <w:rPr>
          <w:rStyle w:val="13"/>
          <w:sz w:val="20"/>
          <w:szCs w:val="20"/>
        </w:rPr>
        <w:t>Journal of Information &amp; Knowledge Management</w:t>
      </w:r>
      <w:r>
        <w:rPr>
          <w:sz w:val="20"/>
          <w:szCs w:val="20"/>
        </w:rPr>
        <w:t>, 2012.</w:t>
      </w:r>
    </w:p>
    <w:p w14:paraId="2445222C">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Verbeke, K., Martens, D., Mues, C., &amp; Baesens, B. “Building comprehensible customer churn prediction models,” </w:t>
      </w:r>
      <w:r>
        <w:rPr>
          <w:rStyle w:val="13"/>
          <w:sz w:val="20"/>
          <w:szCs w:val="20"/>
        </w:rPr>
        <w:t>Expert Systems with Applications</w:t>
      </w:r>
      <w:r>
        <w:rPr>
          <w:sz w:val="20"/>
          <w:szCs w:val="20"/>
        </w:rPr>
        <w:t>, 2011.</w:t>
      </w:r>
    </w:p>
    <w:p w14:paraId="6CA64FAB">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Lu, J. “Predicting customer churn in the telecommunications industry—An application of survival analysis modeling using SAS,” </w:t>
      </w:r>
      <w:r>
        <w:rPr>
          <w:rStyle w:val="13"/>
          <w:sz w:val="20"/>
          <w:szCs w:val="20"/>
        </w:rPr>
        <w:t>SAS Global Forum</w:t>
      </w:r>
      <w:r>
        <w:rPr>
          <w:sz w:val="20"/>
          <w:szCs w:val="20"/>
        </w:rPr>
        <w:t>, 2002.</w:t>
      </w:r>
    </w:p>
    <w:p w14:paraId="354C2380">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Chen, C. et al. “A machine learning approach to customer churn prediction,” </w:t>
      </w:r>
      <w:r>
        <w:rPr>
          <w:rStyle w:val="13"/>
          <w:sz w:val="20"/>
          <w:szCs w:val="20"/>
        </w:rPr>
        <w:t>IEEE International Conference on Big Data</w:t>
      </w:r>
      <w:r>
        <w:rPr>
          <w:sz w:val="20"/>
          <w:szCs w:val="20"/>
        </w:rPr>
        <w:t>, 2018.</w:t>
      </w:r>
    </w:p>
    <w:p w14:paraId="7DEDB0EB">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Lima, G. S., &amp; Santos, F. L. “Telecom customer churn prediction using deep learning,” </w:t>
      </w:r>
      <w:r>
        <w:rPr>
          <w:rStyle w:val="13"/>
          <w:sz w:val="20"/>
          <w:szCs w:val="20"/>
        </w:rPr>
        <w:t>IEEE Latin America Transactions</w:t>
      </w:r>
      <w:r>
        <w:rPr>
          <w:sz w:val="20"/>
          <w:szCs w:val="20"/>
        </w:rPr>
        <w:t>, 2017.</w:t>
      </w:r>
    </w:p>
    <w:p w14:paraId="7684E274">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Saunders, B. L. “Churn prediction using neural networks,” </w:t>
      </w:r>
      <w:r>
        <w:rPr>
          <w:rStyle w:val="13"/>
          <w:sz w:val="20"/>
          <w:szCs w:val="20"/>
        </w:rPr>
        <w:t>Decision Support Systems</w:t>
      </w:r>
      <w:r>
        <w:rPr>
          <w:sz w:val="20"/>
          <w:szCs w:val="20"/>
        </w:rPr>
        <w:t>, 2003.</w:t>
      </w:r>
    </w:p>
    <w:p w14:paraId="366DC845">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Burez, G., &amp; Van den Poel, D. “Handling class imbalance in customer churn prediction,” </w:t>
      </w:r>
      <w:r>
        <w:rPr>
          <w:rStyle w:val="13"/>
          <w:sz w:val="20"/>
          <w:szCs w:val="20"/>
        </w:rPr>
        <w:t>Expert Systems with Applications</w:t>
      </w:r>
      <w:r>
        <w:rPr>
          <w:sz w:val="20"/>
          <w:szCs w:val="20"/>
        </w:rPr>
        <w:t>, 2009.</w:t>
      </w:r>
    </w:p>
    <w:p w14:paraId="151D3BA3">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Pendharkar, P. C. “Genetic algorithm based decision trees for churn prediction,” </w:t>
      </w:r>
      <w:r>
        <w:rPr>
          <w:rStyle w:val="13"/>
          <w:sz w:val="20"/>
          <w:szCs w:val="20"/>
        </w:rPr>
        <w:t>Expert Systems with Applications</w:t>
      </w:r>
      <w:r>
        <w:rPr>
          <w:sz w:val="20"/>
          <w:szCs w:val="20"/>
        </w:rPr>
        <w:t>, 2009.</w:t>
      </w:r>
    </w:p>
    <w:p w14:paraId="2C580F75">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Wei, C., &amp; Chiu, I. “Turning telecommunications call details into churn prediction: A data mining approach,” </w:t>
      </w:r>
      <w:r>
        <w:rPr>
          <w:rStyle w:val="13"/>
          <w:sz w:val="20"/>
          <w:szCs w:val="20"/>
        </w:rPr>
        <w:t>Expert Systems with Applications</w:t>
      </w:r>
      <w:r>
        <w:rPr>
          <w:sz w:val="20"/>
          <w:szCs w:val="20"/>
        </w:rPr>
        <w:t>, 2002.</w:t>
      </w:r>
    </w:p>
    <w:p w14:paraId="2DF53516">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Risselada, N., Verhoef, P., &amp; Bijmolt, T. “Insights into customer retention driver models,” </w:t>
      </w:r>
      <w:r>
        <w:rPr>
          <w:rStyle w:val="13"/>
          <w:sz w:val="20"/>
          <w:szCs w:val="20"/>
        </w:rPr>
        <w:t>Journal of Marketing Research</w:t>
      </w:r>
      <w:r>
        <w:rPr>
          <w:sz w:val="20"/>
          <w:szCs w:val="20"/>
        </w:rPr>
        <w:t>, 2010.</w:t>
      </w:r>
    </w:p>
    <w:p w14:paraId="59F56C2F">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Verbeke, S. et al. “New insights into churn prediction in retail banking,” </w:t>
      </w:r>
      <w:r>
        <w:rPr>
          <w:rStyle w:val="13"/>
          <w:sz w:val="20"/>
          <w:szCs w:val="20"/>
        </w:rPr>
        <w:t>European Journal of Operational Research</w:t>
      </w:r>
      <w:r>
        <w:rPr>
          <w:sz w:val="20"/>
          <w:szCs w:val="20"/>
        </w:rPr>
        <w:t>, 2014.</w:t>
      </w:r>
    </w:p>
    <w:p w14:paraId="6C208E17">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Neslin, L. A. et al. “Defection detection: Measuring and understanding the predictive accuracy of churn models,” </w:t>
      </w:r>
      <w:r>
        <w:rPr>
          <w:rStyle w:val="13"/>
          <w:sz w:val="20"/>
          <w:szCs w:val="20"/>
        </w:rPr>
        <w:t>Journal of Marketing Research</w:t>
      </w:r>
      <w:r>
        <w:rPr>
          <w:sz w:val="20"/>
          <w:szCs w:val="20"/>
        </w:rPr>
        <w:t>, 2006.</w:t>
      </w:r>
    </w:p>
    <w:p w14:paraId="6503D9C4">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Jackob, M. A., &amp; Wübbelt, K. “Deep neural networks for churn prediction,” </w:t>
      </w:r>
      <w:r>
        <w:rPr>
          <w:rStyle w:val="13"/>
          <w:sz w:val="20"/>
          <w:szCs w:val="20"/>
        </w:rPr>
        <w:t>IEEE Big Data Congress</w:t>
      </w:r>
      <w:r>
        <w:rPr>
          <w:sz w:val="20"/>
          <w:szCs w:val="20"/>
        </w:rPr>
        <w:t>, 2019.</w:t>
      </w:r>
    </w:p>
    <w:p w14:paraId="2C529B6E">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King, R., &amp; Rajagopal, K. “Improving customer retention in telecom using ML,” </w:t>
      </w:r>
      <w:r>
        <w:rPr>
          <w:rStyle w:val="13"/>
          <w:sz w:val="20"/>
          <w:szCs w:val="20"/>
        </w:rPr>
        <w:t>International Journal of Advanced Computer Science</w:t>
      </w:r>
      <w:r>
        <w:rPr>
          <w:sz w:val="20"/>
          <w:szCs w:val="20"/>
        </w:rPr>
        <w:t>, 2018.</w:t>
      </w:r>
    </w:p>
    <w:p w14:paraId="321BC2BF">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Huang, Y., &amp; Kechadi, L. “An effective hybrid churn prediction model,” </w:t>
      </w:r>
      <w:r>
        <w:rPr>
          <w:rStyle w:val="13"/>
          <w:sz w:val="20"/>
          <w:szCs w:val="20"/>
        </w:rPr>
        <w:t>Expert Systems with Applications</w:t>
      </w:r>
      <w:r>
        <w:rPr>
          <w:sz w:val="20"/>
          <w:szCs w:val="20"/>
        </w:rPr>
        <w:t>, 2013.</w:t>
      </w:r>
    </w:p>
    <w:p w14:paraId="411C43D4">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He, H., &amp; Garcia, E. “Learning from imbalanced data,” </w:t>
      </w:r>
      <w:r>
        <w:rPr>
          <w:rStyle w:val="13"/>
          <w:sz w:val="20"/>
          <w:szCs w:val="20"/>
        </w:rPr>
        <w:t>IEEE Transactions on Knowledge and Data Engineering</w:t>
      </w:r>
      <w:r>
        <w:rPr>
          <w:sz w:val="20"/>
          <w:szCs w:val="20"/>
        </w:rPr>
        <w:t>, 2009.</w:t>
      </w:r>
    </w:p>
    <w:p w14:paraId="23D02980">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Zhang, Z. “Boosted decision trees for churn prediction,” </w:t>
      </w:r>
      <w:r>
        <w:rPr>
          <w:rStyle w:val="13"/>
          <w:sz w:val="20"/>
          <w:szCs w:val="20"/>
        </w:rPr>
        <w:t>Information Systems Frontiers</w:t>
      </w:r>
      <w:r>
        <w:rPr>
          <w:sz w:val="20"/>
          <w:szCs w:val="20"/>
        </w:rPr>
        <w:t>, 2011.</w:t>
      </w:r>
    </w:p>
    <w:p w14:paraId="7793E1CF">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Mozer, M. et al. “Predicting subscriber churn using AI,” </w:t>
      </w:r>
      <w:r>
        <w:rPr>
          <w:rStyle w:val="13"/>
          <w:sz w:val="20"/>
          <w:szCs w:val="20"/>
        </w:rPr>
        <w:t>Journal of Artificial Intelligence Research</w:t>
      </w:r>
      <w:r>
        <w:rPr>
          <w:sz w:val="20"/>
          <w:szCs w:val="20"/>
        </w:rPr>
        <w:t>, 2000.</w:t>
      </w:r>
    </w:p>
    <w:p w14:paraId="47157E8B">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Kukar, M. et al. “Cost-sensitive classification in churn modeling,” </w:t>
      </w:r>
      <w:r>
        <w:rPr>
          <w:rStyle w:val="13"/>
          <w:sz w:val="20"/>
          <w:szCs w:val="20"/>
        </w:rPr>
        <w:t>ICML Conference</w:t>
      </w:r>
      <w:r>
        <w:rPr>
          <w:sz w:val="20"/>
          <w:szCs w:val="20"/>
        </w:rPr>
        <w:t>, 1998.</w:t>
      </w:r>
    </w:p>
    <w:p w14:paraId="2968D087">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Ali, S., &amp; Smith, K. “Customer behavior analysis using clustering,” </w:t>
      </w:r>
      <w:r>
        <w:rPr>
          <w:rStyle w:val="13"/>
          <w:sz w:val="20"/>
          <w:szCs w:val="20"/>
        </w:rPr>
        <w:t>Data Mining and Knowledge Discovery</w:t>
      </w:r>
      <w:r>
        <w:rPr>
          <w:sz w:val="20"/>
          <w:szCs w:val="20"/>
        </w:rPr>
        <w:t>, 2006.</w:t>
      </w:r>
    </w:p>
    <w:p w14:paraId="0E1961F7">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Coussement, D., &amp; Van den Poel, K. “Churn prediction in insurance,” </w:t>
      </w:r>
      <w:r>
        <w:rPr>
          <w:rStyle w:val="13"/>
          <w:sz w:val="20"/>
          <w:szCs w:val="20"/>
        </w:rPr>
        <w:t>Expert Systems with Applications</w:t>
      </w:r>
      <w:r>
        <w:rPr>
          <w:sz w:val="20"/>
          <w:szCs w:val="20"/>
        </w:rPr>
        <w:t>, 2008.</w:t>
      </w:r>
    </w:p>
    <w:p w14:paraId="75F45734">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KhakAbi, K. et al. “Customer churn prediction: A comprehensive survey,” </w:t>
      </w:r>
      <w:r>
        <w:rPr>
          <w:rStyle w:val="13"/>
          <w:sz w:val="20"/>
          <w:szCs w:val="20"/>
        </w:rPr>
        <w:t>IEEE Access</w:t>
      </w:r>
      <w:r>
        <w:rPr>
          <w:sz w:val="20"/>
          <w:szCs w:val="20"/>
        </w:rPr>
        <w:t>, 2020.</w:t>
      </w:r>
    </w:p>
    <w:p w14:paraId="33D6272E">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Vafeiadis, P. et al. “Predicting customer churn in telecom: A machine learning comparison,” </w:t>
      </w:r>
      <w:r>
        <w:rPr>
          <w:rStyle w:val="13"/>
          <w:sz w:val="20"/>
          <w:szCs w:val="20"/>
        </w:rPr>
        <w:t>Applied Soft Computing</w:t>
      </w:r>
      <w:r>
        <w:rPr>
          <w:sz w:val="20"/>
          <w:szCs w:val="20"/>
        </w:rPr>
        <w:t>, 2015.</w:t>
      </w:r>
    </w:p>
    <w:p w14:paraId="313E33D4">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Xie, Y. et al. “Explainable churn prediction using SHAP,” </w:t>
      </w:r>
      <w:r>
        <w:rPr>
          <w:rStyle w:val="13"/>
          <w:sz w:val="20"/>
          <w:szCs w:val="20"/>
        </w:rPr>
        <w:t>IEEE Access</w:t>
      </w:r>
      <w:r>
        <w:rPr>
          <w:sz w:val="20"/>
          <w:szCs w:val="20"/>
        </w:rPr>
        <w:t>, 2019.</w:t>
      </w:r>
    </w:p>
    <w:p w14:paraId="1EFC64F6">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Amin, H. “Telecom customer churn prediction using ensemble approaches,” </w:t>
      </w:r>
      <w:r>
        <w:rPr>
          <w:rStyle w:val="13"/>
          <w:sz w:val="20"/>
          <w:szCs w:val="20"/>
        </w:rPr>
        <w:t>International Journal of Computer Applications</w:t>
      </w:r>
      <w:r>
        <w:rPr>
          <w:sz w:val="20"/>
          <w:szCs w:val="20"/>
        </w:rPr>
        <w:t>, 2019.</w:t>
      </w:r>
    </w:p>
    <w:p w14:paraId="4A2C707F">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Neslin, A. “Relational data and customer lifetime value modeling,” </w:t>
      </w:r>
      <w:r>
        <w:rPr>
          <w:rStyle w:val="13"/>
          <w:sz w:val="20"/>
          <w:szCs w:val="20"/>
        </w:rPr>
        <w:t>Marketing Science</w:t>
      </w:r>
      <w:r>
        <w:rPr>
          <w:sz w:val="20"/>
          <w:szCs w:val="20"/>
        </w:rPr>
        <w:t>, 2007.</w:t>
      </w:r>
    </w:p>
    <w:p w14:paraId="7C1CF14C">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Hill, N., &amp; Alexander, J. </w:t>
      </w:r>
      <w:r>
        <w:rPr>
          <w:rStyle w:val="13"/>
          <w:sz w:val="20"/>
          <w:szCs w:val="20"/>
        </w:rPr>
        <w:t>The Handbook of Customer Satisfaction</w:t>
      </w:r>
      <w:r>
        <w:rPr>
          <w:sz w:val="20"/>
          <w:szCs w:val="20"/>
        </w:rPr>
        <w:t>, 2006.</w:t>
      </w:r>
    </w:p>
    <w:p w14:paraId="382C991C">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Gupta, S., &amp; Lehmann, D. </w:t>
      </w:r>
      <w:r>
        <w:rPr>
          <w:rStyle w:val="13"/>
          <w:sz w:val="20"/>
          <w:szCs w:val="20"/>
        </w:rPr>
        <w:t>Managing Customers as Investments</w:t>
      </w:r>
      <w:r>
        <w:rPr>
          <w:sz w:val="20"/>
          <w:szCs w:val="20"/>
        </w:rPr>
        <w:t>, 2005.</w:t>
      </w:r>
    </w:p>
    <w:p w14:paraId="46E67FFF">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Fader, P. “Customer Lifetime Value: Theory and Practice,” </w:t>
      </w:r>
      <w:r>
        <w:rPr>
          <w:rStyle w:val="13"/>
          <w:sz w:val="20"/>
          <w:szCs w:val="20"/>
        </w:rPr>
        <w:t>Journal of Interactive Marketing</w:t>
      </w:r>
      <w:r>
        <w:rPr>
          <w:sz w:val="20"/>
          <w:szCs w:val="20"/>
        </w:rPr>
        <w:t>, 2018.</w:t>
      </w:r>
    </w:p>
    <w:p w14:paraId="76BB0B88">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Verbeke, T. et al. “Profit-driven churn models,” </w:t>
      </w:r>
      <w:r>
        <w:rPr>
          <w:rStyle w:val="13"/>
          <w:sz w:val="20"/>
          <w:szCs w:val="20"/>
        </w:rPr>
        <w:t>European Journal of Operational Research</w:t>
      </w:r>
      <w:r>
        <w:rPr>
          <w:sz w:val="20"/>
          <w:szCs w:val="20"/>
        </w:rPr>
        <w:t>, 2012.</w:t>
      </w:r>
    </w:p>
    <w:p w14:paraId="67A6BFCA">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Li, X. et al. “Customer churn prediction via stacking ensemble,” </w:t>
      </w:r>
      <w:r>
        <w:rPr>
          <w:rStyle w:val="13"/>
          <w:sz w:val="20"/>
          <w:szCs w:val="20"/>
        </w:rPr>
        <w:t>IEEE Access</w:t>
      </w:r>
      <w:r>
        <w:rPr>
          <w:sz w:val="20"/>
          <w:szCs w:val="20"/>
        </w:rPr>
        <w:t>, 2020.</w:t>
      </w:r>
    </w:p>
    <w:p w14:paraId="2424152E">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Rashid, A. et al. “Predicting churn in e-commerce,” </w:t>
      </w:r>
      <w:r>
        <w:rPr>
          <w:rStyle w:val="13"/>
          <w:sz w:val="20"/>
          <w:szCs w:val="20"/>
        </w:rPr>
        <w:t>Journal of Theoretical and Applied Information Technology</w:t>
      </w:r>
      <w:r>
        <w:rPr>
          <w:sz w:val="20"/>
          <w:szCs w:val="20"/>
        </w:rPr>
        <w:t>, 2017.</w:t>
      </w:r>
    </w:p>
    <w:p w14:paraId="61D9B6E8">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Ahmad, S. et al. “Deep learning architectures for churn prediction,” </w:t>
      </w:r>
      <w:r>
        <w:rPr>
          <w:rStyle w:val="13"/>
          <w:sz w:val="20"/>
          <w:szCs w:val="20"/>
        </w:rPr>
        <w:t>Neural Computing and Applications</w:t>
      </w:r>
      <w:r>
        <w:rPr>
          <w:sz w:val="20"/>
          <w:szCs w:val="20"/>
        </w:rPr>
        <w:t>, 2020.</w:t>
      </w:r>
    </w:p>
    <w:p w14:paraId="418BFE90">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Hadden, R. “Using data mining to predict churn in banking,” </w:t>
      </w:r>
      <w:r>
        <w:rPr>
          <w:rStyle w:val="13"/>
          <w:sz w:val="20"/>
          <w:szCs w:val="20"/>
        </w:rPr>
        <w:t>Computers &amp; Industrial Engineering</w:t>
      </w:r>
      <w:r>
        <w:rPr>
          <w:sz w:val="20"/>
          <w:szCs w:val="20"/>
        </w:rPr>
        <w:t>, 2007.</w:t>
      </w:r>
    </w:p>
    <w:p w14:paraId="3B192D3C">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Ahmed, N. et al. “Telecom churn dataset analysis,” </w:t>
      </w:r>
      <w:r>
        <w:rPr>
          <w:rStyle w:val="13"/>
          <w:sz w:val="20"/>
          <w:szCs w:val="20"/>
        </w:rPr>
        <w:t>ICMLA Conference</w:t>
      </w:r>
      <w:r>
        <w:rPr>
          <w:sz w:val="20"/>
          <w:szCs w:val="20"/>
        </w:rPr>
        <w:t>, 2019.</w:t>
      </w:r>
    </w:p>
    <w:p w14:paraId="4E801BFE">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Kumar, V., &amp; Reinartz, W. “Customer loyalty and profitability,” </w:t>
      </w:r>
      <w:r>
        <w:rPr>
          <w:rStyle w:val="13"/>
          <w:sz w:val="20"/>
          <w:szCs w:val="20"/>
        </w:rPr>
        <w:t>Journal of Marketing</w:t>
      </w:r>
      <w:r>
        <w:rPr>
          <w:sz w:val="20"/>
          <w:szCs w:val="20"/>
        </w:rPr>
        <w:t>, 2006.</w:t>
      </w:r>
    </w:p>
    <w:p w14:paraId="0E88B6C8">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Lariviere, M., &amp; Van den Poel, D. “Predicting customer retention online,” </w:t>
      </w:r>
      <w:r>
        <w:rPr>
          <w:rStyle w:val="13"/>
          <w:sz w:val="20"/>
          <w:szCs w:val="20"/>
        </w:rPr>
        <w:t>Decision Support Systems</w:t>
      </w:r>
      <w:r>
        <w:rPr>
          <w:sz w:val="20"/>
          <w:szCs w:val="20"/>
        </w:rPr>
        <w:t>, 2005.</w:t>
      </w:r>
    </w:p>
    <w:p w14:paraId="4E707EDE">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Baesens, S. </w:t>
      </w:r>
      <w:r>
        <w:rPr>
          <w:rStyle w:val="13"/>
          <w:sz w:val="20"/>
          <w:szCs w:val="20"/>
        </w:rPr>
        <w:t>Analytics in a Big Data World</w:t>
      </w:r>
      <w:r>
        <w:rPr>
          <w:sz w:val="20"/>
          <w:szCs w:val="20"/>
        </w:rPr>
        <w:t>, Wiley, 2014.</w:t>
      </w:r>
    </w:p>
    <w:p w14:paraId="27A3C470">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Tsai, A., &amp; Lu, S. “Neural networks in customer churn prediction,” </w:t>
      </w:r>
      <w:r>
        <w:rPr>
          <w:rStyle w:val="13"/>
          <w:sz w:val="20"/>
          <w:szCs w:val="20"/>
        </w:rPr>
        <w:t>Expert Systems with Applications</w:t>
      </w:r>
      <w:r>
        <w:rPr>
          <w:sz w:val="20"/>
          <w:szCs w:val="20"/>
        </w:rPr>
        <w:t>, 2009.</w:t>
      </w:r>
    </w:p>
    <w:p w14:paraId="012FF3EC">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Márquez, F. et al. “SVM-based churn prediction,” </w:t>
      </w:r>
      <w:r>
        <w:rPr>
          <w:rStyle w:val="13"/>
          <w:sz w:val="20"/>
          <w:szCs w:val="20"/>
        </w:rPr>
        <w:t>Applied Artificial Intelligence</w:t>
      </w:r>
      <w:r>
        <w:rPr>
          <w:sz w:val="20"/>
          <w:szCs w:val="20"/>
        </w:rPr>
        <w:t>, 2008.</w:t>
      </w:r>
    </w:p>
    <w:p w14:paraId="6DCD7EB9">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Murray, K. B. “Consumer behavior patterns in churn,” </w:t>
      </w:r>
      <w:r>
        <w:rPr>
          <w:rStyle w:val="13"/>
          <w:sz w:val="20"/>
          <w:szCs w:val="20"/>
        </w:rPr>
        <w:t>Journal of Business Research</w:t>
      </w:r>
      <w:r>
        <w:rPr>
          <w:sz w:val="20"/>
          <w:szCs w:val="20"/>
        </w:rPr>
        <w:t>, 2005.</w:t>
      </w:r>
    </w:p>
    <w:p w14:paraId="5D594003">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Tien, K. “Real-time churn detection using streaming analytics,” </w:t>
      </w:r>
      <w:r>
        <w:rPr>
          <w:rStyle w:val="13"/>
          <w:sz w:val="20"/>
          <w:szCs w:val="20"/>
        </w:rPr>
        <w:t>IEEE Conference on Big Data</w:t>
      </w:r>
      <w:r>
        <w:rPr>
          <w:sz w:val="20"/>
          <w:szCs w:val="20"/>
        </w:rPr>
        <w:t>, 2021.</w:t>
      </w:r>
    </w:p>
    <w:p w14:paraId="42601A79">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Ascarza, A. “Retention strategy optimization,” </w:t>
      </w:r>
      <w:r>
        <w:rPr>
          <w:rStyle w:val="13"/>
          <w:sz w:val="20"/>
          <w:szCs w:val="20"/>
        </w:rPr>
        <w:t>Marketing Science</w:t>
      </w:r>
      <w:r>
        <w:rPr>
          <w:sz w:val="20"/>
          <w:szCs w:val="20"/>
        </w:rPr>
        <w:t>, 2018.</w:t>
      </w:r>
    </w:p>
    <w:p w14:paraId="007772E1">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Braun, M. “Customer relationship modeling,” </w:t>
      </w:r>
      <w:r>
        <w:rPr>
          <w:rStyle w:val="13"/>
          <w:sz w:val="20"/>
          <w:szCs w:val="20"/>
        </w:rPr>
        <w:t>Management Science</w:t>
      </w:r>
      <w:r>
        <w:rPr>
          <w:sz w:val="20"/>
          <w:szCs w:val="20"/>
        </w:rPr>
        <w:t>, 2017.</w:t>
      </w:r>
    </w:p>
    <w:p w14:paraId="621677D8">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Domingos, P. “A few useful things to know about machine learning,” </w:t>
      </w:r>
      <w:r>
        <w:rPr>
          <w:rStyle w:val="13"/>
          <w:sz w:val="20"/>
          <w:szCs w:val="20"/>
        </w:rPr>
        <w:t>Communications of the ACM</w:t>
      </w:r>
      <w:r>
        <w:rPr>
          <w:sz w:val="20"/>
          <w:szCs w:val="20"/>
        </w:rPr>
        <w:t>, 2012.</w:t>
      </w:r>
    </w:p>
    <w:p w14:paraId="0A487A87">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Aggarwal, C. </w:t>
      </w:r>
      <w:r>
        <w:rPr>
          <w:rStyle w:val="13"/>
          <w:sz w:val="20"/>
          <w:szCs w:val="20"/>
        </w:rPr>
        <w:t>Data Mining: The Textbook</w:t>
      </w:r>
      <w:r>
        <w:rPr>
          <w:sz w:val="20"/>
          <w:szCs w:val="20"/>
        </w:rPr>
        <w:t>, Springer, 2015.</w:t>
      </w:r>
    </w:p>
    <w:p w14:paraId="512CC6E5">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Hastie, T., Tibshirani, R., &amp; Friedman, J. </w:t>
      </w:r>
      <w:r>
        <w:rPr>
          <w:rStyle w:val="13"/>
          <w:sz w:val="20"/>
          <w:szCs w:val="20"/>
        </w:rPr>
        <w:t>The Elements of Statistical Learning</w:t>
      </w:r>
      <w:r>
        <w:rPr>
          <w:sz w:val="20"/>
          <w:szCs w:val="20"/>
        </w:rPr>
        <w:t>, Springer, 2009.</w:t>
      </w:r>
    </w:p>
    <w:p w14:paraId="0E4DF839">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Goodfellow, I., Bengio, Y., &amp; Courville, A. </w:t>
      </w:r>
      <w:r>
        <w:rPr>
          <w:rStyle w:val="13"/>
          <w:sz w:val="20"/>
          <w:szCs w:val="20"/>
        </w:rPr>
        <w:t>Deep Learning</w:t>
      </w:r>
      <w:r>
        <w:rPr>
          <w:sz w:val="20"/>
          <w:szCs w:val="20"/>
        </w:rPr>
        <w:t>, MIT Press, 2016.</w:t>
      </w:r>
    </w:p>
    <w:p w14:paraId="6B5CF903">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Shalev-Shwartz, S., &amp; Ben-David, S. </w:t>
      </w:r>
      <w:r>
        <w:rPr>
          <w:rStyle w:val="13"/>
          <w:sz w:val="20"/>
          <w:szCs w:val="20"/>
        </w:rPr>
        <w:t>Understanding Machine Learning: From Theory to Algorithms</w:t>
      </w:r>
      <w:r>
        <w:rPr>
          <w:sz w:val="20"/>
          <w:szCs w:val="20"/>
        </w:rPr>
        <w:t>, Cambridge University Press, 2014.</w:t>
      </w:r>
    </w:p>
    <w:p w14:paraId="3E6993C8">
      <w:pPr>
        <w:pStyle w:val="16"/>
        <w:keepNext w:val="0"/>
        <w:keepLines w:val="0"/>
        <w:widowControl/>
        <w:numPr>
          <w:ilvl w:val="0"/>
          <w:numId w:val="2"/>
        </w:numPr>
        <w:suppressLineNumbers w:val="0"/>
        <w:spacing w:line="360" w:lineRule="auto"/>
        <w:ind w:left="425" w:leftChars="0" w:hanging="425" w:firstLineChars="0"/>
        <w:rPr>
          <w:sz w:val="20"/>
          <w:szCs w:val="20"/>
        </w:rPr>
      </w:pPr>
      <w:r>
        <w:rPr>
          <w:sz w:val="20"/>
          <w:szCs w:val="20"/>
        </w:rPr>
        <w:t xml:space="preserve">IBM Research. “Customer Retention and Churn Analytics,” </w:t>
      </w:r>
      <w:r>
        <w:rPr>
          <w:rStyle w:val="13"/>
          <w:sz w:val="20"/>
          <w:szCs w:val="20"/>
        </w:rPr>
        <w:t>IBM Technical Report</w:t>
      </w:r>
      <w:r>
        <w:rPr>
          <w:sz w:val="20"/>
          <w:szCs w:val="20"/>
        </w:rPr>
        <w:t>, 2019.</w:t>
      </w:r>
    </w:p>
    <w:p w14:paraId="2A95BA92">
      <w:pPr>
        <w:pStyle w:val="16"/>
        <w:keepNext w:val="0"/>
        <w:keepLines w:val="0"/>
        <w:pageBreakBefore w:val="0"/>
        <w:widowControl/>
        <w:numPr>
          <w:numId w:val="0"/>
        </w:numPr>
        <w:suppressLineNumbers w:val="0"/>
        <w:kinsoku/>
        <w:wordWrap/>
        <w:overflowPunct/>
        <w:topLinePunct w:val="0"/>
        <w:autoSpaceDE/>
        <w:autoSpaceDN/>
        <w:bidi w:val="0"/>
        <w:adjustRightInd/>
        <w:snapToGrid/>
        <w:spacing w:line="360" w:lineRule="auto"/>
        <w:ind w:leftChars="0"/>
        <w:textAlignment w:val="auto"/>
        <w:rPr>
          <w:rFonts w:hint="default" w:ascii="Times New Roman" w:hAnsi="Times New Roman" w:cs="Times New Roman"/>
          <w:sz w:val="20"/>
          <w:szCs w:val="20"/>
        </w:rPr>
      </w:pPr>
    </w:p>
    <w:sectPr>
      <w:type w:val="continuous"/>
      <w:pgSz w:w="11906" w:h="16838"/>
      <w:pgMar w:top="720" w:right="720" w:bottom="720" w:left="720" w:header="708" w:footer="708" w:gutter="0"/>
      <w:cols w:space="708" w:num="2"/>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000247B" w:usb2="00000009" w:usb3="00000000" w:csb0="200001FF" w:csb1="00000000"/>
  </w:font>
  <w:font w:name="Mangal">
    <w:altName w:val="Segoe Print"/>
    <w:panose1 w:val="00000400000000000000"/>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1A2B12"/>
    <w:multiLevelType w:val="singleLevel"/>
    <w:tmpl w:val="221A2B12"/>
    <w:lvl w:ilvl="0" w:tentative="0">
      <w:start w:val="1"/>
      <w:numFmt w:val="decimal"/>
      <w:lvlText w:val="%1."/>
      <w:lvlJc w:val="left"/>
      <w:pPr>
        <w:tabs>
          <w:tab w:val="left" w:pos="425"/>
        </w:tabs>
        <w:ind w:left="425" w:leftChars="0" w:hanging="425" w:firstLineChars="0"/>
      </w:pPr>
      <w:rPr>
        <w:rFonts w:hint="default"/>
      </w:rPr>
    </w:lvl>
  </w:abstractNum>
  <w:abstractNum w:abstractNumId="1">
    <w:nsid w:val="420E789D"/>
    <w:multiLevelType w:val="singleLevel"/>
    <w:tmpl w:val="420E789D"/>
    <w:lvl w:ilvl="0" w:tentative="0">
      <w:start w:val="1"/>
      <w:numFmt w:val="upperRoman"/>
      <w:lvlText w:val="%1."/>
      <w:lvlJc w:val="left"/>
      <w:pPr>
        <w:tabs>
          <w:tab w:val="left" w:pos="425"/>
        </w:tabs>
        <w:ind w:left="425" w:leftChars="0" w:hanging="425" w:firstLineChars="0"/>
      </w:pPr>
      <w:rPr>
        <w:rFonts w:hint="default"/>
        <w:b/>
        <w:bC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79E"/>
    <w:rsid w:val="0002017B"/>
    <w:rsid w:val="00021EEB"/>
    <w:rsid w:val="000A4D56"/>
    <w:rsid w:val="000C2178"/>
    <w:rsid w:val="000C7589"/>
    <w:rsid w:val="001304A2"/>
    <w:rsid w:val="001351BE"/>
    <w:rsid w:val="001557AE"/>
    <w:rsid w:val="0017345E"/>
    <w:rsid w:val="0018673D"/>
    <w:rsid w:val="00192E81"/>
    <w:rsid w:val="001933FD"/>
    <w:rsid w:val="001D3BF6"/>
    <w:rsid w:val="001E1509"/>
    <w:rsid w:val="001F7444"/>
    <w:rsid w:val="00201FAE"/>
    <w:rsid w:val="00212403"/>
    <w:rsid w:val="0023495B"/>
    <w:rsid w:val="00237809"/>
    <w:rsid w:val="00271558"/>
    <w:rsid w:val="00296758"/>
    <w:rsid w:val="002A040E"/>
    <w:rsid w:val="002B5E3C"/>
    <w:rsid w:val="002C1A7E"/>
    <w:rsid w:val="002C7E40"/>
    <w:rsid w:val="002D35E3"/>
    <w:rsid w:val="002D4467"/>
    <w:rsid w:val="002E27EF"/>
    <w:rsid w:val="00313378"/>
    <w:rsid w:val="003457A8"/>
    <w:rsid w:val="003C73C4"/>
    <w:rsid w:val="003F572A"/>
    <w:rsid w:val="0040271D"/>
    <w:rsid w:val="00415802"/>
    <w:rsid w:val="00434399"/>
    <w:rsid w:val="00436406"/>
    <w:rsid w:val="0044189D"/>
    <w:rsid w:val="0046579E"/>
    <w:rsid w:val="00497B97"/>
    <w:rsid w:val="004B4921"/>
    <w:rsid w:val="004E4722"/>
    <w:rsid w:val="00566DA8"/>
    <w:rsid w:val="005C50DB"/>
    <w:rsid w:val="005C7F3F"/>
    <w:rsid w:val="00627E6E"/>
    <w:rsid w:val="00634875"/>
    <w:rsid w:val="00651612"/>
    <w:rsid w:val="00651E14"/>
    <w:rsid w:val="006C47B1"/>
    <w:rsid w:val="00706276"/>
    <w:rsid w:val="00734344"/>
    <w:rsid w:val="00754C2B"/>
    <w:rsid w:val="00763793"/>
    <w:rsid w:val="007B3140"/>
    <w:rsid w:val="007C6CD3"/>
    <w:rsid w:val="007D17F2"/>
    <w:rsid w:val="007D1BCC"/>
    <w:rsid w:val="007E76B1"/>
    <w:rsid w:val="007F2859"/>
    <w:rsid w:val="00893AA5"/>
    <w:rsid w:val="00902D00"/>
    <w:rsid w:val="00916244"/>
    <w:rsid w:val="00941801"/>
    <w:rsid w:val="00946F2C"/>
    <w:rsid w:val="00953558"/>
    <w:rsid w:val="00967D2D"/>
    <w:rsid w:val="00972BC2"/>
    <w:rsid w:val="009D3BE9"/>
    <w:rsid w:val="009E2C85"/>
    <w:rsid w:val="009F228A"/>
    <w:rsid w:val="00A1423B"/>
    <w:rsid w:val="00A274F2"/>
    <w:rsid w:val="00A53B7B"/>
    <w:rsid w:val="00AD1E1A"/>
    <w:rsid w:val="00AE4438"/>
    <w:rsid w:val="00B133A7"/>
    <w:rsid w:val="00B21D58"/>
    <w:rsid w:val="00B32FF4"/>
    <w:rsid w:val="00B3581E"/>
    <w:rsid w:val="00B83040"/>
    <w:rsid w:val="00B83DFE"/>
    <w:rsid w:val="00B948FD"/>
    <w:rsid w:val="00BA59DF"/>
    <w:rsid w:val="00BA79C6"/>
    <w:rsid w:val="00BC3565"/>
    <w:rsid w:val="00BD45EA"/>
    <w:rsid w:val="00BD6BEE"/>
    <w:rsid w:val="00C2701E"/>
    <w:rsid w:val="00C41E82"/>
    <w:rsid w:val="00C43A3D"/>
    <w:rsid w:val="00C578C3"/>
    <w:rsid w:val="00CB77EA"/>
    <w:rsid w:val="00CC782E"/>
    <w:rsid w:val="00CE4D14"/>
    <w:rsid w:val="00D268C5"/>
    <w:rsid w:val="00D4224C"/>
    <w:rsid w:val="00D45A1E"/>
    <w:rsid w:val="00E01752"/>
    <w:rsid w:val="00E04C0A"/>
    <w:rsid w:val="00E16205"/>
    <w:rsid w:val="00E62035"/>
    <w:rsid w:val="00E6596E"/>
    <w:rsid w:val="00E9383A"/>
    <w:rsid w:val="00EC73BC"/>
    <w:rsid w:val="00EE1176"/>
    <w:rsid w:val="00EF4C6C"/>
    <w:rsid w:val="00F0336C"/>
    <w:rsid w:val="00F040D6"/>
    <w:rsid w:val="00F27C21"/>
    <w:rsid w:val="00F858AC"/>
    <w:rsid w:val="00F967AD"/>
    <w:rsid w:val="00FB21EB"/>
    <w:rsid w:val="00FF0EDC"/>
    <w:rsid w:val="00FF783D"/>
    <w:rsid w:val="04DC3620"/>
    <w:rsid w:val="77020C3C"/>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n-IN" w:eastAsia="en-US" w:bidi="ar-SA"/>
      <w14:ligatures w14:val="standardContextual"/>
    </w:rPr>
  </w:style>
  <w:style w:type="paragraph" w:styleId="2">
    <w:name w:val="heading 1"/>
    <w:basedOn w:val="1"/>
    <w:next w:val="1"/>
    <w:link w:val="20"/>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22"/>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3"/>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4"/>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5"/>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6"/>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8"/>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Emphasis"/>
    <w:basedOn w:val="11"/>
    <w:qFormat/>
    <w:uiPriority w:val="20"/>
    <w:rPr>
      <w:i/>
      <w:iCs/>
    </w:rPr>
  </w:style>
  <w:style w:type="character" w:styleId="14">
    <w:name w:val="FollowedHyperlink"/>
    <w:basedOn w:val="11"/>
    <w:semiHidden/>
    <w:unhideWhenUsed/>
    <w:uiPriority w:val="99"/>
    <w:rPr>
      <w:color w:val="954F72" w:themeColor="followedHyperlink"/>
      <w:u w:val="single"/>
      <w14:textFill>
        <w14:solidFill>
          <w14:schemeClr w14:val="folHlink"/>
        </w14:solidFill>
      </w14:textFill>
    </w:rPr>
  </w:style>
  <w:style w:type="character" w:styleId="15">
    <w:name w:val="Hyperlink"/>
    <w:basedOn w:val="11"/>
    <w:unhideWhenUsed/>
    <w:uiPriority w:val="99"/>
    <w:rPr>
      <w:color w:val="0563C1" w:themeColor="hyperlink"/>
      <w:u w:val="single"/>
      <w14:textFill>
        <w14:solidFill>
          <w14:schemeClr w14:val="hlink"/>
        </w14:solidFill>
      </w14:textFill>
    </w:rPr>
  </w:style>
  <w:style w:type="paragraph" w:styleId="16">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kern w:val="0"/>
      <w:lang w:eastAsia="en-IN"/>
      <w14:ligatures w14:val="none"/>
    </w:rPr>
  </w:style>
  <w:style w:type="paragraph" w:styleId="17">
    <w:name w:val="Subtitle"/>
    <w:basedOn w:val="1"/>
    <w:next w:val="1"/>
    <w:link w:val="30"/>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table" w:styleId="18">
    <w:name w:val="Table Grid"/>
    <w:basedOn w:val="12"/>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9">
    <w:name w:val="Title"/>
    <w:basedOn w:val="1"/>
    <w:next w:val="1"/>
    <w:link w:val="29"/>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20">
    <w:name w:val="Heading 1 Char"/>
    <w:basedOn w:val="11"/>
    <w:link w:val="2"/>
    <w:uiPriority w:val="9"/>
    <w:rPr>
      <w:rFonts w:asciiTheme="majorHAnsi" w:hAnsiTheme="majorHAnsi" w:eastAsiaTheme="majorEastAsia" w:cstheme="majorBidi"/>
      <w:color w:val="2F5597" w:themeColor="accent1" w:themeShade="BF"/>
      <w:sz w:val="40"/>
      <w:szCs w:val="40"/>
    </w:rPr>
  </w:style>
  <w:style w:type="character" w:customStyle="1" w:styleId="21">
    <w:name w:val="Heading 2 Char"/>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22">
    <w:name w:val="Heading 3 Char"/>
    <w:basedOn w:val="11"/>
    <w:link w:val="4"/>
    <w:semiHidden/>
    <w:qFormat/>
    <w:uiPriority w:val="9"/>
    <w:rPr>
      <w:rFonts w:eastAsiaTheme="majorEastAsia" w:cstheme="majorBidi"/>
      <w:color w:val="2F5597" w:themeColor="accent1" w:themeShade="BF"/>
      <w:sz w:val="28"/>
      <w:szCs w:val="28"/>
    </w:rPr>
  </w:style>
  <w:style w:type="character" w:customStyle="1" w:styleId="23">
    <w:name w:val="Heading 4 Char"/>
    <w:basedOn w:val="11"/>
    <w:link w:val="5"/>
    <w:semiHidden/>
    <w:uiPriority w:val="9"/>
    <w:rPr>
      <w:rFonts w:eastAsiaTheme="majorEastAsia" w:cstheme="majorBidi"/>
      <w:i/>
      <w:iCs/>
      <w:color w:val="2F5597" w:themeColor="accent1" w:themeShade="BF"/>
    </w:rPr>
  </w:style>
  <w:style w:type="character" w:customStyle="1" w:styleId="24">
    <w:name w:val="Heading 5 Char"/>
    <w:basedOn w:val="11"/>
    <w:link w:val="6"/>
    <w:semiHidden/>
    <w:qFormat/>
    <w:uiPriority w:val="9"/>
    <w:rPr>
      <w:rFonts w:eastAsiaTheme="majorEastAsia" w:cstheme="majorBidi"/>
      <w:color w:val="2F5597" w:themeColor="accent1" w:themeShade="BF"/>
    </w:rPr>
  </w:style>
  <w:style w:type="character" w:customStyle="1" w:styleId="25">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6">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Heading 8 Ch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8">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9">
    <w:name w:val="Title Char"/>
    <w:basedOn w:val="11"/>
    <w:link w:val="19"/>
    <w:uiPriority w:val="10"/>
    <w:rPr>
      <w:rFonts w:asciiTheme="majorHAnsi" w:hAnsiTheme="majorHAnsi" w:eastAsiaTheme="majorEastAsia" w:cstheme="majorBidi"/>
      <w:spacing w:val="-10"/>
      <w:kern w:val="28"/>
      <w:sz w:val="56"/>
      <w:szCs w:val="56"/>
    </w:rPr>
  </w:style>
  <w:style w:type="character" w:customStyle="1" w:styleId="30">
    <w:name w:val="Subtitle Char"/>
    <w:basedOn w:val="11"/>
    <w:link w:val="17"/>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Quote Char"/>
    <w:basedOn w:val="11"/>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Intense Emphasis"/>
    <w:basedOn w:val="11"/>
    <w:qFormat/>
    <w:uiPriority w:val="21"/>
    <w:rPr>
      <w:i/>
      <w:iCs/>
      <w:color w:val="2F5597" w:themeColor="accent1" w:themeShade="BF"/>
    </w:rPr>
  </w:style>
  <w:style w:type="paragraph" w:styleId="35">
    <w:name w:val="Intense Quote"/>
    <w:basedOn w:val="1"/>
    <w:next w:val="1"/>
    <w:link w:val="36"/>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6">
    <w:name w:val="Intense Quote Char"/>
    <w:basedOn w:val="11"/>
    <w:link w:val="35"/>
    <w:qFormat/>
    <w:uiPriority w:val="30"/>
    <w:rPr>
      <w:i/>
      <w:iCs/>
      <w:color w:val="2F5597" w:themeColor="accent1" w:themeShade="BF"/>
    </w:rPr>
  </w:style>
  <w:style w:type="character" w:customStyle="1" w:styleId="37">
    <w:name w:val="Intense Reference"/>
    <w:basedOn w:val="11"/>
    <w:qFormat/>
    <w:uiPriority w:val="32"/>
    <w:rPr>
      <w:b/>
      <w:bCs/>
      <w:smallCaps/>
      <w:color w:val="2F5597" w:themeColor="accent1" w:themeShade="BF"/>
      <w:spacing w:val="5"/>
    </w:rPr>
  </w:style>
  <w:style w:type="character" w:customStyle="1" w:styleId="38">
    <w:name w:val="Unresolved Mention"/>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833B23-5F75-4583-9627-C6D2192099C8}">
  <ds:schemaRefs/>
</ds:datastoreItem>
</file>

<file path=docProps/app.xml><?xml version="1.0" encoding="utf-8"?>
<Properties xmlns="http://schemas.openxmlformats.org/officeDocument/2006/extended-properties" xmlns:vt="http://schemas.openxmlformats.org/officeDocument/2006/docPropsVTypes">
  <Template>Normal.dotm</Template>
  <Pages>6</Pages>
  <Words>4752</Words>
  <Characters>27088</Characters>
  <Lines>225</Lines>
  <Paragraphs>63</Paragraphs>
  <TotalTime>121</TotalTime>
  <ScaleCrop>false</ScaleCrop>
  <LinksUpToDate>false</LinksUpToDate>
  <CharactersWithSpaces>31777</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2025-11-28T18:01:00Z</dcterms:created>
  <dc:creator>VEDAVYAS SINGAMSETTY</dc:creator>
  <cp:lastModifiedBy>Dani Akash</cp:lastModifiedBy>
  <dcterms:modified xsi:type="dcterms:W3CDTF">2025-12-02T15:51:18Z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3C3C5B4C76024EB6BAEED925D2AB5248_13</vt:lpwstr>
  </property>
</Properties>
</file>